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5ECD5ABB" w:rsidR="00495496" w:rsidRPr="006E3C14" w:rsidRDefault="008F5EAE" w:rsidP="00F23A2D">
      <w:pPr>
        <w:pStyle w:val="BodyText"/>
        <w:ind w:left="0"/>
        <w:rPr>
          <w:rFonts w:ascii="Times New Roman" w:hAnsi="Times New Roman"/>
          <w:sz w:val="20"/>
        </w:rPr>
      </w:pPr>
      <w:bookmarkStart w:id="0" w:name="_Hlk188537196"/>
      <w:r w:rsidRPr="008F5EAE">
        <w:rPr>
          <w:rFonts w:ascii="Times New Roman" w:eastAsia="Times New Roman" w:hAnsi="Times New Roman"/>
          <w:b/>
          <w:bCs/>
          <w:color w:val="44546A"/>
          <w:sz w:val="20"/>
          <w:szCs w:val="20"/>
          <w:lang w:val="pl-PL"/>
        </w:rPr>
        <w:t>Wiosenne oferty Fluke</w:t>
      </w:r>
      <w:r>
        <w:rPr>
          <w:rFonts w:ascii="Times New Roman" w:eastAsia="Times New Roman" w:hAnsi="Times New Roman"/>
          <w:b/>
          <w:bCs/>
          <w:color w:val="44546A"/>
          <w:sz w:val="20"/>
          <w:szCs w:val="20"/>
          <w:lang w:val="pl-PL"/>
        </w:rPr>
        <w:t xml:space="preserve">; </w:t>
      </w:r>
      <w:r w:rsidRPr="008F5EAE">
        <w:rPr>
          <w:rFonts w:ascii="Times New Roman" w:eastAsia="Times New Roman" w:hAnsi="Times New Roman"/>
          <w:b/>
          <w:bCs/>
          <w:color w:val="44546A"/>
          <w:sz w:val="20"/>
          <w:szCs w:val="20"/>
          <w:lang w:val="pl-PL"/>
        </w:rPr>
        <w:t>Kup jeden produkt, a drugi wybierz za darmo</w:t>
      </w:r>
      <w:r>
        <w:rPr>
          <w:rFonts w:ascii="Times New Roman" w:eastAsia="Times New Roman" w:hAnsi="Times New Roman"/>
          <w:b/>
          <w:bCs/>
          <w:color w:val="44546A"/>
          <w:sz w:val="20"/>
          <w:szCs w:val="20"/>
          <w:lang w:val="pl-PL"/>
        </w:rPr>
        <w:t xml:space="preserve"> - 2025</w:t>
      </w:r>
    </w:p>
    <w:bookmarkEnd w:id="0"/>
    <w:p w14:paraId="1D151DE0" w14:textId="77777777" w:rsidR="00F23A2D" w:rsidRPr="006E3C14" w:rsidRDefault="00A111D1"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pl-PL"/>
        </w:rPr>
        <w:t>Skrócona wersja regulaminu</w:t>
      </w:r>
    </w:p>
    <w:p w14:paraId="6B5B2FF9" w14:textId="22C04BB5" w:rsidR="00F23A2D" w:rsidRPr="006B3ADE" w:rsidRDefault="00A111D1"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pl-PL"/>
        </w:rPr>
        <w:t>Otrzymasz przyrząd Fluke, gdy zrealizujesz zakup za co najmnie</w:t>
      </w:r>
      <w:r w:rsidRPr="006B3ADE">
        <w:rPr>
          <w:rFonts w:ascii="Times New Roman" w:eastAsia="Times New Roman" w:hAnsi="Times New Roman"/>
          <w:sz w:val="20"/>
          <w:szCs w:val="20"/>
          <w:lang w:val="pl-PL"/>
        </w:rPr>
        <w:t xml:space="preserve">j </w:t>
      </w:r>
      <w:r w:rsidRPr="008417DE">
        <w:rPr>
          <w:rFonts w:ascii="Times New Roman" w:eastAsia="Times New Roman" w:hAnsi="Times New Roman"/>
          <w:b/>
          <w:bCs/>
          <w:sz w:val="20"/>
          <w:szCs w:val="20"/>
          <w:lang w:val="pl-PL"/>
        </w:rPr>
        <w:t>150 EUR</w:t>
      </w:r>
      <w:r w:rsidRPr="006B3ADE">
        <w:rPr>
          <w:rFonts w:ascii="Times New Roman" w:eastAsia="Times New Roman" w:hAnsi="Times New Roman"/>
          <w:sz w:val="20"/>
          <w:szCs w:val="20"/>
          <w:lang w:val="pl-PL"/>
        </w:rPr>
        <w:t>*.</w:t>
      </w:r>
    </w:p>
    <w:p w14:paraId="1ECC5C6C" w14:textId="4625171A" w:rsidR="00F23A2D" w:rsidRPr="006B3ADE" w:rsidRDefault="00A111D1" w:rsidP="006E3C14">
      <w:pPr>
        <w:pStyle w:val="BodyText"/>
        <w:spacing w:after="0"/>
        <w:ind w:left="0"/>
        <w:jc w:val="both"/>
        <w:rPr>
          <w:rFonts w:ascii="Times New Roman" w:hAnsi="Times New Roman"/>
          <w:sz w:val="20"/>
        </w:rPr>
      </w:pPr>
      <w:r w:rsidRPr="006B3ADE">
        <w:rPr>
          <w:rFonts w:ascii="Times New Roman" w:eastAsia="Times New Roman" w:hAnsi="Times New Roman"/>
          <w:sz w:val="20"/>
          <w:szCs w:val="20"/>
          <w:lang w:val="pl-PL"/>
        </w:rPr>
        <w:t>Jak otrzymać darmowy przyrząd Fluke:</w:t>
      </w:r>
    </w:p>
    <w:p w14:paraId="21025289" w14:textId="6D58F6F3" w:rsidR="00F23A2D" w:rsidRPr="008417DE" w:rsidRDefault="00A111D1" w:rsidP="006E3C14">
      <w:pPr>
        <w:pStyle w:val="BodyText"/>
        <w:numPr>
          <w:ilvl w:val="0"/>
          <w:numId w:val="10"/>
        </w:numPr>
        <w:spacing w:after="0"/>
        <w:ind w:left="426" w:hanging="426"/>
        <w:jc w:val="both"/>
        <w:rPr>
          <w:rFonts w:ascii="Times New Roman" w:hAnsi="Times New Roman"/>
          <w:b/>
          <w:bCs/>
          <w:sz w:val="20"/>
        </w:rPr>
      </w:pPr>
      <w:r w:rsidRPr="006B3ADE">
        <w:rPr>
          <w:rFonts w:ascii="Times New Roman" w:eastAsia="Times New Roman" w:hAnsi="Times New Roman"/>
          <w:sz w:val="20"/>
          <w:szCs w:val="20"/>
          <w:lang w:val="pl-PL"/>
        </w:rPr>
        <w:t xml:space="preserve">Wydaj co najmniej 150 EUR (bez VAT) lub więcej na dowolne kwalifikujące się produkty Fluke między </w:t>
      </w:r>
      <w:r w:rsidRPr="008417DE">
        <w:rPr>
          <w:rFonts w:ascii="Times New Roman" w:eastAsia="Times New Roman" w:hAnsi="Times New Roman"/>
          <w:b/>
          <w:bCs/>
          <w:sz w:val="20"/>
          <w:szCs w:val="20"/>
          <w:lang w:val="pl-PL"/>
        </w:rPr>
        <w:t>1</w:t>
      </w:r>
      <w:r w:rsidR="008F5EAE">
        <w:rPr>
          <w:rFonts w:ascii="Times New Roman" w:eastAsia="Times New Roman" w:hAnsi="Times New Roman"/>
          <w:b/>
          <w:bCs/>
          <w:sz w:val="20"/>
          <w:szCs w:val="20"/>
          <w:lang w:val="pl-PL"/>
        </w:rPr>
        <w:t>7-02-2025</w:t>
      </w:r>
      <w:r w:rsidRPr="008417DE">
        <w:rPr>
          <w:rFonts w:ascii="Times New Roman" w:eastAsia="Times New Roman" w:hAnsi="Times New Roman"/>
          <w:b/>
          <w:bCs/>
          <w:sz w:val="20"/>
          <w:szCs w:val="20"/>
          <w:lang w:val="pl-PL"/>
        </w:rPr>
        <w:t xml:space="preserve"> r. a 31</w:t>
      </w:r>
      <w:r w:rsidR="008F5EAE">
        <w:rPr>
          <w:rFonts w:ascii="Times New Roman" w:eastAsia="Times New Roman" w:hAnsi="Times New Roman"/>
          <w:b/>
          <w:bCs/>
          <w:sz w:val="20"/>
          <w:szCs w:val="20"/>
          <w:lang w:val="pl-PL"/>
        </w:rPr>
        <w:t>-07-2025</w:t>
      </w:r>
      <w:r w:rsidRPr="008417DE">
        <w:rPr>
          <w:rFonts w:ascii="Times New Roman" w:eastAsia="Times New Roman" w:hAnsi="Times New Roman"/>
          <w:b/>
          <w:bCs/>
          <w:sz w:val="20"/>
          <w:szCs w:val="20"/>
          <w:lang w:val="pl-PL"/>
        </w:rPr>
        <w:t xml:space="preserve"> r. </w:t>
      </w:r>
    </w:p>
    <w:p w14:paraId="71250731" w14:textId="786E2516" w:rsidR="00F23A2D" w:rsidRPr="00A111D1" w:rsidRDefault="00A111D1" w:rsidP="006E3C14">
      <w:pPr>
        <w:pStyle w:val="BodyText"/>
        <w:numPr>
          <w:ilvl w:val="0"/>
          <w:numId w:val="11"/>
        </w:numPr>
        <w:spacing w:after="0"/>
        <w:ind w:left="709"/>
        <w:jc w:val="both"/>
        <w:rPr>
          <w:rFonts w:ascii="Times New Roman" w:hAnsi="Times New Roman"/>
          <w:sz w:val="20"/>
          <w:lang w:val="pl-PL"/>
        </w:rPr>
      </w:pPr>
      <w:r w:rsidRPr="006B3ADE">
        <w:rPr>
          <w:rFonts w:ascii="Times New Roman" w:eastAsia="Times New Roman" w:hAnsi="Times New Roman"/>
          <w:sz w:val="20"/>
          <w:szCs w:val="20"/>
          <w:lang w:val="pl-PL"/>
        </w:rPr>
        <w:t>Do udziału w tej promocji kwalifikują się klienci końcowi zamieszkujący kontynentalną cz</w:t>
      </w:r>
      <w:r>
        <w:rPr>
          <w:rFonts w:ascii="Times New Roman" w:eastAsia="Times New Roman" w:hAnsi="Times New Roman"/>
          <w:sz w:val="20"/>
          <w:szCs w:val="20"/>
          <w:lang w:val="pl-PL"/>
        </w:rPr>
        <w:t xml:space="preserve">ęść Unii Europejskiej, Zjednoczone Królestwo, Szwajcarię, Norwegię, Szwecję, Finlandię, Albanię, Bośnię i Hercegowinę, Islandię, Macedonię i Serbię (z wyłączeniem Wysp Kanaryjskich, Ukrainy oraz krajów, do których aktualnie mają zastosowanie sankcje handlowe UE lub USA) („Terytorium Programu”). Zakupów należy dokonać u autoryzowanego dystrybutora firmy Fluke w kraju zamieszkania klienta, który znajduje się na Terytorium programu. </w:t>
      </w:r>
    </w:p>
    <w:p w14:paraId="3491D032" w14:textId="77777777" w:rsidR="00F23A2D" w:rsidRPr="00A111D1" w:rsidRDefault="00A111D1" w:rsidP="006E3C14">
      <w:pPr>
        <w:pStyle w:val="BodyText"/>
        <w:numPr>
          <w:ilvl w:val="0"/>
          <w:numId w:val="11"/>
        </w:numPr>
        <w:spacing w:after="0"/>
        <w:ind w:left="709"/>
        <w:jc w:val="both"/>
        <w:rPr>
          <w:rFonts w:ascii="Times New Roman" w:hAnsi="Times New Roman"/>
          <w:sz w:val="20"/>
          <w:lang w:val="pl-PL"/>
        </w:rPr>
      </w:pPr>
      <w:r>
        <w:rPr>
          <w:rFonts w:ascii="Times New Roman" w:eastAsia="Times New Roman" w:hAnsi="Times New Roman"/>
          <w:sz w:val="20"/>
          <w:szCs w:val="20"/>
          <w:lang w:val="pl-PL"/>
        </w:rPr>
        <w:t xml:space="preserve">Wymagany jest dowód zakupu w postaci pojedynczego paragonu lub faktury. </w:t>
      </w:r>
      <w:bookmarkStart w:id="1" w:name="_Hlk29220021"/>
      <w:r>
        <w:rPr>
          <w:rFonts w:ascii="Times New Roman" w:eastAsia="Times New Roman" w:hAnsi="Times New Roman"/>
          <w:sz w:val="20"/>
          <w:szCs w:val="20"/>
          <w:lang w:val="pl-PL"/>
        </w:rPr>
        <w:t>Jako dowód zakupu nie są akceptowane specyfikacje przesyłek, zamówienia ani potwierdzenia zamówień.</w:t>
      </w:r>
      <w:bookmarkEnd w:id="1"/>
    </w:p>
    <w:p w14:paraId="58ECEF7F" w14:textId="77777777" w:rsidR="00F23A2D" w:rsidRPr="00A111D1" w:rsidRDefault="00A111D1" w:rsidP="006E3C14">
      <w:pPr>
        <w:pStyle w:val="BodyText"/>
        <w:numPr>
          <w:ilvl w:val="0"/>
          <w:numId w:val="11"/>
        </w:numPr>
        <w:spacing w:after="0"/>
        <w:ind w:left="709"/>
        <w:jc w:val="both"/>
        <w:rPr>
          <w:rFonts w:ascii="Times New Roman" w:hAnsi="Times New Roman"/>
          <w:sz w:val="20"/>
          <w:lang w:val="pl-PL"/>
        </w:rPr>
      </w:pPr>
      <w:r>
        <w:rPr>
          <w:rFonts w:ascii="Times New Roman" w:eastAsia="Times New Roman" w:hAnsi="Times New Roman"/>
          <w:sz w:val="20"/>
          <w:szCs w:val="20"/>
          <w:lang w:val="pl-PL"/>
        </w:rPr>
        <w:t>Do tej promocji kwalifikują się tylko produkty Fluke określone w regulaminie.</w:t>
      </w:r>
    </w:p>
    <w:p w14:paraId="14ACB31B" w14:textId="77777777" w:rsidR="00F23A2D" w:rsidRPr="00A111D1" w:rsidRDefault="00A111D1" w:rsidP="006E3C14">
      <w:pPr>
        <w:pStyle w:val="BodyText"/>
        <w:numPr>
          <w:ilvl w:val="0"/>
          <w:numId w:val="11"/>
        </w:numPr>
        <w:spacing w:after="0"/>
        <w:ind w:left="709"/>
        <w:jc w:val="both"/>
        <w:rPr>
          <w:rFonts w:ascii="Times New Roman" w:hAnsi="Times New Roman"/>
          <w:sz w:val="20"/>
          <w:lang w:val="pl-PL"/>
        </w:rPr>
      </w:pPr>
      <w:r>
        <w:rPr>
          <w:rFonts w:ascii="Times New Roman" w:eastAsia="Times New Roman" w:hAnsi="Times New Roman"/>
          <w:sz w:val="20"/>
          <w:szCs w:val="20"/>
          <w:lang w:val="pl-PL"/>
        </w:rPr>
        <w:t>W przypadku zakupu dokonanego online wymagany będzie dowód dostawy wskazujący przewoźnika oraz zawierający datę dostawy i elektroniczny numer śledzenia przesyłki.</w:t>
      </w:r>
    </w:p>
    <w:p w14:paraId="405FCFBA" w14:textId="1FF45CEC" w:rsidR="00F23A2D" w:rsidRPr="008F2971" w:rsidRDefault="00A111D1"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pl-PL"/>
        </w:rPr>
        <w:t xml:space="preserve">Odbierz swój prezent online! Przejdź pod adres: </w:t>
      </w:r>
      <w:hyperlink r:id="rId12" w:history="1">
        <w:r w:rsidR="008F5EAE" w:rsidRPr="0031558E">
          <w:rPr>
            <w:rStyle w:val="Hyperlink"/>
            <w:rFonts w:ascii="Times New Roman" w:eastAsia="Times New Roman" w:hAnsi="Times New Roman"/>
            <w:sz w:val="20"/>
            <w:szCs w:val="20"/>
            <w:lang w:val="pl-PL"/>
          </w:rPr>
          <w:t>www.fluke.pl/freegift</w:t>
        </w:r>
      </w:hyperlink>
      <w:r>
        <w:rPr>
          <w:rFonts w:ascii="Times New Roman" w:eastAsia="Times New Roman" w:hAnsi="Times New Roman"/>
          <w:sz w:val="20"/>
          <w:szCs w:val="20"/>
          <w:lang w:val="pl-PL"/>
        </w:rPr>
        <w:t xml:space="preserve"> </w:t>
      </w:r>
    </w:p>
    <w:p w14:paraId="3A8A3F6A" w14:textId="10666C28" w:rsidR="00F23A2D" w:rsidRPr="00A111D1" w:rsidRDefault="00A111D1"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pl-PL"/>
        </w:rPr>
        <w:t>Odbierz swój nowy przyrząd Fluke i zacznij z niego korzystać!</w:t>
      </w:r>
    </w:p>
    <w:p w14:paraId="64AF9C93" w14:textId="1CF67A7A" w:rsidR="00F23A2D" w:rsidRPr="006E3C14" w:rsidRDefault="00A111D1"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pl-PL"/>
        </w:rPr>
        <w:t xml:space="preserve">*Obowiązuje dodatkowy regulamin. Uczestnictwo w niniejszej promocji jest równoznaczne z akceptacją jej regulaminu. Zapoznaj się z regulaminem pod adresem </w:t>
      </w:r>
      <w:r w:rsidR="006B3ADE">
        <w:rPr>
          <w:rFonts w:ascii="Times New Roman" w:eastAsia="Times New Roman" w:hAnsi="Times New Roman"/>
          <w:sz w:val="20"/>
          <w:szCs w:val="20"/>
          <w:lang w:val="pl-PL"/>
        </w:rPr>
        <w:t xml:space="preserve"> </w:t>
      </w:r>
      <w:hyperlink r:id="rId13" w:history="1">
        <w:r w:rsidR="008F5EAE" w:rsidRPr="0031558E">
          <w:rPr>
            <w:rStyle w:val="Hyperlink"/>
            <w:rFonts w:ascii="Times New Roman" w:eastAsia="Times New Roman" w:hAnsi="Times New Roman"/>
            <w:sz w:val="20"/>
            <w:szCs w:val="20"/>
            <w:lang w:val="pl-PL"/>
          </w:rPr>
          <w:t>www.fluke.pl/freegift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A111D1"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pl-PL"/>
        </w:rPr>
        <w:t>Regulamin</w:t>
      </w:r>
    </w:p>
    <w:p w14:paraId="1E8C0925" w14:textId="77777777" w:rsidR="00F5105E" w:rsidRPr="006D63B1" w:rsidRDefault="00F5105E" w:rsidP="00012874">
      <w:pPr>
        <w:rPr>
          <w:sz w:val="20"/>
          <w:szCs w:val="20"/>
        </w:rPr>
      </w:pPr>
    </w:p>
    <w:p w14:paraId="24478E83" w14:textId="00A35D2F" w:rsidR="00227B20" w:rsidRPr="00A111D1" w:rsidRDefault="00A111D1" w:rsidP="000A4866">
      <w:pPr>
        <w:pStyle w:val="ListParagraph"/>
        <w:numPr>
          <w:ilvl w:val="0"/>
          <w:numId w:val="9"/>
        </w:numPr>
        <w:ind w:left="284" w:hanging="284"/>
        <w:jc w:val="both"/>
        <w:rPr>
          <w:sz w:val="20"/>
          <w:lang w:val="pl-PL"/>
        </w:rPr>
      </w:pPr>
      <w:r>
        <w:rPr>
          <w:rFonts w:eastAsia="Times New Roman"/>
          <w:b/>
          <w:bCs/>
          <w:sz w:val="20"/>
          <w:szCs w:val="20"/>
          <w:lang w:val="pl-PL"/>
        </w:rPr>
        <w:t>Informacje ogólne</w:t>
      </w:r>
      <w:r>
        <w:rPr>
          <w:rFonts w:eastAsia="Times New Roman"/>
          <w:sz w:val="20"/>
          <w:szCs w:val="20"/>
          <w:lang w:val="pl-PL"/>
        </w:rPr>
        <w:t xml:space="preserve">  W rama</w:t>
      </w:r>
      <w:r w:rsidRPr="006B3ADE">
        <w:rPr>
          <w:rFonts w:eastAsia="Times New Roman"/>
          <w:sz w:val="20"/>
          <w:szCs w:val="20"/>
          <w:lang w:val="pl-PL"/>
        </w:rPr>
        <w:t xml:space="preserve">ch tego programu </w:t>
      </w:r>
      <w:r w:rsidR="008F5EAE">
        <w:rPr>
          <w:rFonts w:eastAsia="Times New Roman"/>
          <w:sz w:val="20"/>
          <w:szCs w:val="20"/>
          <w:lang w:val="pl-PL"/>
        </w:rPr>
        <w:t>„</w:t>
      </w:r>
      <w:r w:rsidR="008F5EAE" w:rsidRPr="008F5EAE">
        <w:rPr>
          <w:rFonts w:eastAsia="Times New Roman"/>
          <w:sz w:val="20"/>
          <w:szCs w:val="20"/>
          <w:lang w:val="pl-PL"/>
        </w:rPr>
        <w:t xml:space="preserve">Wiosenne oferty Fluke; Kup jeden produkt, a drugi wybierz za darmo </w:t>
      </w:r>
      <w:r w:rsidR="008F5EAE">
        <w:rPr>
          <w:rFonts w:eastAsia="Times New Roman"/>
          <w:sz w:val="20"/>
          <w:szCs w:val="20"/>
          <w:lang w:val="pl-PL"/>
        </w:rPr>
        <w:t>–</w:t>
      </w:r>
      <w:r w:rsidR="008F5EAE" w:rsidRPr="008F5EAE">
        <w:rPr>
          <w:rFonts w:eastAsia="Times New Roman"/>
          <w:sz w:val="20"/>
          <w:szCs w:val="20"/>
          <w:lang w:val="pl-PL"/>
        </w:rPr>
        <w:t xml:space="preserve"> 2025</w:t>
      </w:r>
      <w:r w:rsidR="008F5EAE">
        <w:rPr>
          <w:rFonts w:eastAsia="Times New Roman"/>
          <w:sz w:val="20"/>
          <w:szCs w:val="20"/>
          <w:lang w:val="pl-PL"/>
        </w:rPr>
        <w:t xml:space="preserve">” </w:t>
      </w:r>
      <w:r w:rsidRPr="006B3ADE">
        <w:rPr>
          <w:rFonts w:eastAsia="Times New Roman"/>
          <w:sz w:val="20"/>
          <w:szCs w:val="20"/>
          <w:lang w:val="pl-PL"/>
        </w:rPr>
        <w:t>(„</w:t>
      </w:r>
      <w:r w:rsidRPr="006B3ADE">
        <w:rPr>
          <w:rFonts w:eastAsia="Times New Roman"/>
          <w:b/>
          <w:bCs/>
          <w:i/>
          <w:iCs/>
          <w:sz w:val="20"/>
          <w:szCs w:val="20"/>
          <w:lang w:val="pl-PL"/>
        </w:rPr>
        <w:t>Program</w:t>
      </w:r>
      <w:r w:rsidRPr="006B3ADE">
        <w:rPr>
          <w:rFonts w:eastAsia="Times New Roman"/>
          <w:i/>
          <w:iCs/>
          <w:sz w:val="20"/>
          <w:szCs w:val="20"/>
          <w:lang w:val="pl-PL"/>
        </w:rPr>
        <w:t>”</w:t>
      </w:r>
      <w:r w:rsidRPr="006B3ADE">
        <w:rPr>
          <w:rFonts w:eastAsia="Times New Roman"/>
          <w:sz w:val="20"/>
          <w:szCs w:val="20"/>
          <w:lang w:val="pl-PL"/>
        </w:rPr>
        <w:t xml:space="preserve"> lub „</w:t>
      </w:r>
      <w:r w:rsidRPr="006B3ADE">
        <w:rPr>
          <w:rFonts w:eastAsia="Times New Roman"/>
          <w:b/>
          <w:bCs/>
          <w:i/>
          <w:iCs/>
          <w:sz w:val="20"/>
          <w:szCs w:val="20"/>
          <w:lang w:val="pl-PL"/>
        </w:rPr>
        <w:t>Promocja</w:t>
      </w:r>
      <w:r w:rsidRPr="006B3ADE">
        <w:rPr>
          <w:rFonts w:eastAsia="Times New Roman"/>
          <w:sz w:val="20"/>
          <w:szCs w:val="20"/>
          <w:lang w:val="pl-PL"/>
        </w:rPr>
        <w:t>”) w okresie od 1</w:t>
      </w:r>
      <w:r w:rsidR="008F5EAE">
        <w:rPr>
          <w:rFonts w:eastAsia="Times New Roman"/>
          <w:sz w:val="20"/>
          <w:szCs w:val="20"/>
          <w:lang w:val="pl-PL"/>
        </w:rPr>
        <w:t>7-02-2025</w:t>
      </w:r>
      <w:r w:rsidRPr="006B3ADE">
        <w:rPr>
          <w:rFonts w:eastAsia="Times New Roman"/>
          <w:sz w:val="20"/>
          <w:szCs w:val="20"/>
          <w:lang w:val="pl-PL"/>
        </w:rPr>
        <w:t xml:space="preserve"> r. do 31</w:t>
      </w:r>
      <w:r w:rsidR="008F5EAE">
        <w:rPr>
          <w:rFonts w:eastAsia="Times New Roman"/>
          <w:sz w:val="20"/>
          <w:szCs w:val="20"/>
          <w:lang w:val="pl-PL"/>
        </w:rPr>
        <w:t>-07-2025</w:t>
      </w:r>
      <w:r w:rsidRPr="006B3ADE">
        <w:rPr>
          <w:rFonts w:eastAsia="Times New Roman"/>
          <w:sz w:val="20"/>
          <w:szCs w:val="20"/>
          <w:lang w:val="pl-PL"/>
        </w:rPr>
        <w:t xml:space="preserve"> r. („</w:t>
      </w:r>
      <w:r w:rsidRPr="006B3ADE">
        <w:rPr>
          <w:rFonts w:eastAsia="Times New Roman"/>
          <w:b/>
          <w:bCs/>
          <w:i/>
          <w:iCs/>
          <w:sz w:val="20"/>
          <w:szCs w:val="20"/>
          <w:lang w:val="pl-PL"/>
        </w:rPr>
        <w:t>Okr</w:t>
      </w:r>
      <w:r>
        <w:rPr>
          <w:rFonts w:eastAsia="Times New Roman"/>
          <w:b/>
          <w:bCs/>
          <w:i/>
          <w:iCs/>
          <w:sz w:val="20"/>
          <w:szCs w:val="20"/>
          <w:lang w:val="pl-PL"/>
        </w:rPr>
        <w:t>es Programu</w:t>
      </w:r>
      <w:r>
        <w:rPr>
          <w:rFonts w:eastAsia="Times New Roman"/>
          <w:i/>
          <w:iCs/>
          <w:sz w:val="20"/>
          <w:szCs w:val="20"/>
          <w:lang w:val="pl-PL"/>
        </w:rPr>
        <w:t>”)</w:t>
      </w:r>
      <w:r>
        <w:rPr>
          <w:rFonts w:eastAsia="Times New Roman"/>
          <w:sz w:val="20"/>
          <w:szCs w:val="20"/>
          <w:lang w:val="pl-PL"/>
        </w:rPr>
        <w:t xml:space="preserve"> otrzymasz wybrany przez siebie prezent Fluke („</w:t>
      </w:r>
      <w:r>
        <w:rPr>
          <w:rFonts w:eastAsia="Times New Roman"/>
          <w:b/>
          <w:bCs/>
          <w:i/>
          <w:iCs/>
          <w:sz w:val="20"/>
          <w:szCs w:val="20"/>
          <w:lang w:val="pl-PL"/>
        </w:rPr>
        <w:t>Prezent</w:t>
      </w:r>
      <w:r>
        <w:rPr>
          <w:rFonts w:eastAsia="Times New Roman"/>
          <w:sz w:val="20"/>
          <w:szCs w:val="20"/>
          <w:lang w:val="pl-PL"/>
        </w:rPr>
        <w:t>”), gdy kupisz produkt marki Fluke objęty promocją („</w:t>
      </w:r>
      <w:r>
        <w:rPr>
          <w:rFonts w:eastAsia="Times New Roman"/>
          <w:b/>
          <w:bCs/>
          <w:i/>
          <w:iCs/>
          <w:sz w:val="20"/>
          <w:szCs w:val="20"/>
          <w:lang w:val="pl-PL"/>
        </w:rPr>
        <w:t>Zakup uprawniający</w:t>
      </w:r>
      <w:r>
        <w:rPr>
          <w:rFonts w:eastAsia="Times New Roman"/>
          <w:sz w:val="20"/>
          <w:szCs w:val="20"/>
          <w:lang w:val="pl-PL"/>
        </w:rPr>
        <w:t>”) – zgodnie z poniższym opisem – u autoryzowanego dystrybutora w kontynentalnej części Unii Europejskiej, Zjednoczonym Królestwie, Szwajcarii, Norwegii, Szwecji, Finlandii, Albanii, Bośni i Hercegowinie, Islandii, Macedonii Północnej i Serbii (z wyłączeniem Wysp Kanaryjskich, Ukrainy oraz krajów, do których aktualnie mają zastosowanie sankcje handlowe UE lub USA) („</w:t>
      </w:r>
      <w:r>
        <w:rPr>
          <w:rFonts w:eastAsia="Times New Roman"/>
          <w:b/>
          <w:bCs/>
          <w:i/>
          <w:iCs/>
          <w:sz w:val="20"/>
          <w:szCs w:val="20"/>
          <w:lang w:val="pl-PL"/>
        </w:rPr>
        <w:t>Terytorium Programu</w:t>
      </w:r>
      <w:r>
        <w:rPr>
          <w:rFonts w:eastAsia="Times New Roman"/>
          <w:sz w:val="20"/>
          <w:szCs w:val="20"/>
          <w:lang w:val="pl-PL"/>
        </w:rPr>
        <w:t>”).  Aby dokonać Zakupu uprawniającego, należy skontaktować się bezpośrednio z firmą Fluke Europe B.V. („</w:t>
      </w:r>
      <w:r>
        <w:rPr>
          <w:rFonts w:eastAsia="Times New Roman"/>
          <w:b/>
          <w:bCs/>
          <w:i/>
          <w:iCs/>
          <w:sz w:val="20"/>
          <w:szCs w:val="20"/>
          <w:lang w:val="pl-PL"/>
        </w:rPr>
        <w:t>Sponsor</w:t>
      </w:r>
      <w:r>
        <w:rPr>
          <w:rFonts w:eastAsia="Times New Roman"/>
          <w:i/>
          <w:iCs/>
          <w:sz w:val="20"/>
          <w:szCs w:val="20"/>
          <w:lang w:val="pl-PL"/>
        </w:rPr>
        <w:t>”)</w:t>
      </w:r>
      <w:r>
        <w:rPr>
          <w:rFonts w:eastAsia="Times New Roman"/>
          <w:sz w:val="20"/>
          <w:szCs w:val="20"/>
          <w:lang w:val="pl-PL"/>
        </w:rPr>
        <w:t xml:space="preserve"> albo znaleźć autoryzowanego dystrybutora na </w:t>
      </w:r>
      <w:hyperlink r:id="rId14" w:history="1">
        <w:r>
          <w:rPr>
            <w:rFonts w:eastAsia="Times New Roman"/>
            <w:color w:val="0000FF"/>
            <w:sz w:val="20"/>
            <w:szCs w:val="20"/>
            <w:u w:val="single"/>
            <w:lang w:val="pl-PL"/>
          </w:rPr>
          <w:t>tej</w:t>
        </w:r>
      </w:hyperlink>
      <w:r>
        <w:rPr>
          <w:rFonts w:eastAsia="Times New Roman"/>
          <w:sz w:val="20"/>
          <w:szCs w:val="20"/>
          <w:lang w:val="pl-PL"/>
        </w:rPr>
        <w:t xml:space="preserve"> liście.</w:t>
      </w:r>
    </w:p>
    <w:p w14:paraId="2AC149F4" w14:textId="77777777" w:rsidR="00351E27" w:rsidRPr="00A111D1" w:rsidRDefault="00351E27" w:rsidP="00F5105E">
      <w:pPr>
        <w:pStyle w:val="BodyText"/>
        <w:spacing w:after="0"/>
        <w:ind w:left="270"/>
        <w:jc w:val="both"/>
        <w:rPr>
          <w:rFonts w:ascii="Times New Roman" w:hAnsi="Times New Roman"/>
          <w:sz w:val="20"/>
          <w:szCs w:val="20"/>
          <w:lang w:val="pl-PL"/>
        </w:rPr>
      </w:pPr>
    </w:p>
    <w:p w14:paraId="6832EA77" w14:textId="20D72624" w:rsidR="00227B20" w:rsidRDefault="00A111D1" w:rsidP="00F5105E">
      <w:pPr>
        <w:pStyle w:val="BodyText"/>
        <w:spacing w:after="0"/>
        <w:ind w:left="270"/>
        <w:jc w:val="both"/>
        <w:rPr>
          <w:rFonts w:ascii="Times New Roman" w:eastAsia="Times New Roman" w:hAnsi="Times New Roman"/>
          <w:sz w:val="20"/>
          <w:szCs w:val="20"/>
          <w:lang w:val="pl-PL"/>
        </w:rPr>
      </w:pPr>
      <w:r>
        <w:rPr>
          <w:rFonts w:ascii="Times New Roman" w:eastAsia="Times New Roman" w:hAnsi="Times New Roman"/>
          <w:sz w:val="20"/>
          <w:szCs w:val="20"/>
          <w:lang w:val="pl-PL"/>
        </w:rPr>
        <w:t>Każdy Zakup uprawniający musi zostać dokonany w Okresie Programu, co powinna potwierdzać data zakupu widniejąca na fakturze/paragonie klienta. Promocja obowiązuje tylko w odniesieniu do zakupów dokonanych w Okresie Programu. Oferta dostępna w ramach Programu nie łączy się z żadną inną ofertą i nie podlega zamianie na alternatywne produkty, usługi, gotówkę czy punkty, z wyjątkiem sytuacji wyraźnie dozwolonych w niniejszym regulaminie.</w:t>
      </w:r>
    </w:p>
    <w:p w14:paraId="0F12C7B1" w14:textId="77777777" w:rsidR="00A111D1" w:rsidRDefault="00A111D1" w:rsidP="00F5105E">
      <w:pPr>
        <w:pStyle w:val="BodyText"/>
        <w:spacing w:after="0"/>
        <w:ind w:left="270"/>
        <w:jc w:val="both"/>
        <w:rPr>
          <w:rFonts w:ascii="Times New Roman" w:eastAsia="Times New Roman" w:hAnsi="Times New Roman"/>
          <w:sz w:val="20"/>
          <w:szCs w:val="20"/>
          <w:lang w:val="pl-PL"/>
        </w:rPr>
      </w:pPr>
    </w:p>
    <w:p w14:paraId="3CFE2AB2" w14:textId="77777777" w:rsidR="006B3ADE" w:rsidRPr="00731045" w:rsidRDefault="006B3ADE" w:rsidP="006B3ADE">
      <w:pPr>
        <w:pStyle w:val="ListParagraph"/>
        <w:numPr>
          <w:ilvl w:val="0"/>
          <w:numId w:val="9"/>
        </w:numPr>
        <w:ind w:left="284" w:hanging="284"/>
        <w:jc w:val="both"/>
        <w:rPr>
          <w:sz w:val="20"/>
          <w:lang w:val="pl-PL"/>
        </w:rPr>
      </w:pPr>
      <w:r>
        <w:rPr>
          <w:rFonts w:eastAsia="Times New Roman"/>
          <w:b/>
          <w:bCs/>
          <w:sz w:val="20"/>
          <w:szCs w:val="20"/>
          <w:lang w:val="pl-PL"/>
        </w:rPr>
        <w:t>Uprawnienie do udziału</w:t>
      </w:r>
      <w:r>
        <w:rPr>
          <w:rFonts w:eastAsia="Times New Roman"/>
          <w:sz w:val="20"/>
          <w:szCs w:val="20"/>
          <w:lang w:val="pl-PL"/>
        </w:rPr>
        <w:t xml:space="preserve">.  Promocja jest nieważna, jeśli jest zabroniona przez prawo, i jest dostępna wyłącznie dla klientów przebywających na Terytorium Programu.  </w:t>
      </w:r>
    </w:p>
    <w:p w14:paraId="7DB8CC8C" w14:textId="77777777" w:rsidR="006B3ADE" w:rsidRPr="00731045" w:rsidRDefault="006B3ADE" w:rsidP="006B3ADE">
      <w:pPr>
        <w:pStyle w:val="ListParagraph"/>
        <w:ind w:left="284"/>
        <w:jc w:val="both"/>
        <w:rPr>
          <w:sz w:val="20"/>
          <w:lang w:val="pl-PL"/>
        </w:rPr>
      </w:pPr>
    </w:p>
    <w:p w14:paraId="358C078D" w14:textId="77777777" w:rsidR="006B3ADE" w:rsidRPr="00731045" w:rsidRDefault="006B3ADE" w:rsidP="006B3ADE">
      <w:pPr>
        <w:pStyle w:val="BodyText"/>
        <w:spacing w:after="0"/>
        <w:ind w:left="270"/>
        <w:jc w:val="both"/>
        <w:rPr>
          <w:rFonts w:ascii="Times New Roman" w:hAnsi="Times New Roman"/>
          <w:sz w:val="20"/>
          <w:lang w:val="pl-PL"/>
        </w:rPr>
      </w:pPr>
      <w:r>
        <w:rPr>
          <w:rFonts w:ascii="Times New Roman" w:eastAsia="Times New Roman" w:hAnsi="Times New Roman"/>
          <w:sz w:val="20"/>
          <w:szCs w:val="20"/>
          <w:lang w:val="pl-PL"/>
        </w:rPr>
        <w:t>W przypadku dokonania Zakupu uprawniającego określonego w zamówieniu prezentowym dla lub w imieniu pracodawcy, zobowiązujesz się niezwłocznie przekazać pracodawcy prezent uzyskany w ramach Programu oraz przedstawić Sponsorowi na żądanie dowód przekazania.  Ponadto ponosisz wyłączną odpowiedzialność za przestrzeganie zasad swojej firmy dotyczących przyjmowania prezentów i uczestnictwa w promocjach takich jak ten Program.</w:t>
      </w:r>
    </w:p>
    <w:p w14:paraId="580A8D41" w14:textId="77777777" w:rsidR="006B3ADE" w:rsidRPr="00731045" w:rsidRDefault="006B3ADE" w:rsidP="006B3ADE">
      <w:pPr>
        <w:pStyle w:val="OutlineL1"/>
        <w:numPr>
          <w:ilvl w:val="0"/>
          <w:numId w:val="0"/>
        </w:numPr>
        <w:spacing w:after="0"/>
        <w:ind w:left="270"/>
        <w:jc w:val="both"/>
        <w:rPr>
          <w:rFonts w:ascii="Times New Roman" w:eastAsia="Calibri" w:hAnsi="Times New Roman"/>
          <w:color w:val="auto"/>
          <w:sz w:val="20"/>
          <w:szCs w:val="24"/>
          <w:lang w:val="pl-PL"/>
        </w:rPr>
      </w:pPr>
    </w:p>
    <w:p w14:paraId="27D9D912" w14:textId="77777777" w:rsidR="006B3ADE" w:rsidRPr="00731045" w:rsidRDefault="006B3ADE" w:rsidP="006B3ADE">
      <w:pPr>
        <w:pStyle w:val="OutlineL1"/>
        <w:numPr>
          <w:ilvl w:val="0"/>
          <w:numId w:val="0"/>
        </w:numPr>
        <w:spacing w:after="0"/>
        <w:ind w:left="270"/>
        <w:jc w:val="both"/>
        <w:rPr>
          <w:rFonts w:ascii="Times New Roman" w:eastAsia="Calibri" w:hAnsi="Times New Roman"/>
          <w:color w:val="auto"/>
          <w:sz w:val="20"/>
          <w:szCs w:val="24"/>
          <w:lang w:val="pl-PL"/>
        </w:rPr>
      </w:pPr>
      <w:r>
        <w:rPr>
          <w:rFonts w:ascii="Times New Roman" w:hAnsi="Times New Roman"/>
          <w:color w:val="auto"/>
          <w:sz w:val="20"/>
          <w:lang w:val="pl-PL"/>
        </w:rPr>
        <w:t xml:space="preserve">Do udziału w Promocji nie są uprawnieni pracownicy, dyrektorzy i kierownictwo wyższego szczebla Sponsora, jego spółek nadrzędnych, podmiotów stowarzyszonych, podmiotów zależnych, (pod)dystrybutorów, agentów, odsprzedawców, przedstawicielstw, agencji PR, promocyjnych, marketingowych i firm magazynowo-wysyłkowych, doradcy zawodowi, konsultanci, twórcy stron internetowych, administratorzy stron internetowych, </w:t>
      </w:r>
      <w:r>
        <w:rPr>
          <w:rFonts w:ascii="Times New Roman" w:hAnsi="Times New Roman"/>
          <w:color w:val="auto"/>
          <w:sz w:val="20"/>
          <w:lang w:val="pl-PL"/>
        </w:rPr>
        <w:lastRenderedPageBreak/>
        <w:t>a także najbliższe rodziny tych osób (rodzice, rodzeństwo, dzieci i współmałżonek bez względu na miejsce zamieszkania) oraz osoby mieszkające w tym samym gospodarstwie domowym (niezależnie od tego, czy są spokrewnione). Niniejsza promocja nie dotyczy również pracowników służby zdrowia będących (a) osobami (lub podmiotami) zaangażowanymi w świadczenie usług opieki zdrowotnej pacjentom albo (b) osobami (lub podmiotami), które kupują, wynajmują, zalecają, używają, organizują zakup lub dzierżawę, lub przepisują produkty lub usługi medyczne Sponsora w imieniu pracowników służby zdrowia, w tym przedstawicieli zaopatrzenia lekarzy, kierowników praktyk lekarskich i kierownictwa w organizacjach zaopatrzenia grupy medycznej. Ponadto do udziału w Promocji nie są uprawnieni pracownicy, kierownictwo wyższego szczebla, dyrektorzy, przedstawiciele ani agenci dystrybutorów Sponsora lub konkurencyjnych producentów przyrządów.</w:t>
      </w:r>
    </w:p>
    <w:p w14:paraId="7658BA29" w14:textId="77777777" w:rsidR="00A111D1" w:rsidRPr="006B3ADE" w:rsidRDefault="00A111D1" w:rsidP="00F5105E">
      <w:pPr>
        <w:pStyle w:val="BodyText"/>
        <w:spacing w:after="0"/>
        <w:ind w:left="270"/>
        <w:jc w:val="both"/>
        <w:rPr>
          <w:rFonts w:ascii="Times New Roman" w:hAnsi="Times New Roman"/>
          <w:sz w:val="20"/>
          <w:szCs w:val="20"/>
          <w:lang w:val="pl-PL"/>
        </w:rPr>
      </w:pPr>
    </w:p>
    <w:p w14:paraId="515866A8" w14:textId="213CD4DE" w:rsidR="00227B20" w:rsidRPr="00F805DE" w:rsidRDefault="00A111D1" w:rsidP="00F805DE">
      <w:pPr>
        <w:pStyle w:val="ListParagraph"/>
        <w:numPr>
          <w:ilvl w:val="0"/>
          <w:numId w:val="14"/>
        </w:numPr>
        <w:jc w:val="both"/>
        <w:rPr>
          <w:sz w:val="20"/>
        </w:rPr>
      </w:pPr>
      <w:r>
        <w:rPr>
          <w:rFonts w:eastAsia="Times New Roman"/>
          <w:b/>
          <w:bCs/>
          <w:sz w:val="20"/>
          <w:szCs w:val="20"/>
          <w:lang w:val="pl-PL"/>
        </w:rPr>
        <w:t>Szczegóły Programu</w:t>
      </w:r>
      <w:r>
        <w:rPr>
          <w:rFonts w:eastAsia="Times New Roman"/>
          <w:sz w:val="20"/>
          <w:szCs w:val="20"/>
          <w:lang w:val="pl-PL"/>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426E418F" w:rsidR="00920FA5" w:rsidRPr="00307B32" w:rsidRDefault="00A111D1" w:rsidP="00F805DE">
      <w:pPr>
        <w:pStyle w:val="ListParagraph"/>
        <w:numPr>
          <w:ilvl w:val="1"/>
          <w:numId w:val="14"/>
        </w:numPr>
        <w:jc w:val="both"/>
        <w:rPr>
          <w:sz w:val="20"/>
        </w:rPr>
      </w:pPr>
      <w:r>
        <w:rPr>
          <w:rFonts w:eastAsia="Times New Roman"/>
          <w:sz w:val="20"/>
          <w:szCs w:val="20"/>
          <w:lang w:val="pl-PL"/>
        </w:rPr>
        <w:t xml:space="preserve">Dokonaj Zakupu uprawniającego złożonego z dowolnych spośród następujących produktów od autoryzowanego dystrybutora z </w:t>
      </w:r>
      <w:hyperlink r:id="rId15" w:history="1">
        <w:r>
          <w:rPr>
            <w:rFonts w:eastAsia="Times New Roman"/>
            <w:color w:val="0000FF"/>
            <w:sz w:val="20"/>
            <w:szCs w:val="20"/>
            <w:u w:val="single"/>
            <w:lang w:val="pl-PL"/>
          </w:rPr>
          <w:t>tej</w:t>
        </w:r>
      </w:hyperlink>
      <w:r>
        <w:rPr>
          <w:rFonts w:eastAsia="Times New Roman"/>
          <w:color w:val="0000FF"/>
          <w:sz w:val="20"/>
          <w:szCs w:val="20"/>
          <w:lang w:val="pl-PL"/>
        </w:rPr>
        <w:t xml:space="preserve"> </w:t>
      </w:r>
      <w:r>
        <w:rPr>
          <w:rFonts w:eastAsia="Times New Roman"/>
          <w:sz w:val="20"/>
          <w:szCs w:val="20"/>
          <w:lang w:val="pl-PL"/>
        </w:rPr>
        <w:t xml:space="preserve">listy. </w:t>
      </w:r>
    </w:p>
    <w:p w14:paraId="7B956D38" w14:textId="77777777" w:rsidR="000B2D6B" w:rsidRDefault="000B2D6B" w:rsidP="000B2D6B">
      <w:pPr>
        <w:pStyle w:val="ListParagraph"/>
        <w:jc w:val="both"/>
        <w:rPr>
          <w:sz w:val="20"/>
        </w:rPr>
      </w:pPr>
    </w:p>
    <w:p w14:paraId="4E16D7D8" w14:textId="68C20CA0" w:rsidR="006045CF" w:rsidRPr="006045CF" w:rsidRDefault="00A111D1" w:rsidP="008941D4">
      <w:pPr>
        <w:pStyle w:val="ListParagraph"/>
        <w:numPr>
          <w:ilvl w:val="0"/>
          <w:numId w:val="13"/>
        </w:numPr>
        <w:ind w:left="993" w:hanging="284"/>
        <w:jc w:val="both"/>
        <w:rPr>
          <w:sz w:val="20"/>
        </w:rPr>
      </w:pPr>
      <w:r>
        <w:rPr>
          <w:rFonts w:eastAsia="Times New Roman"/>
          <w:sz w:val="20"/>
          <w:szCs w:val="20"/>
          <w:lang w:val="pl-PL"/>
        </w:rPr>
        <w:t xml:space="preserve">Produkty marki Fluke IG wyszczególnione pod adresem </w:t>
      </w:r>
      <w:hyperlink r:id="rId16" w:history="1">
        <w:r w:rsidR="00F86623" w:rsidRPr="00A05288">
          <w:rPr>
            <w:rStyle w:val="Hyperlink"/>
            <w:rFonts w:eastAsia="Times New Roman"/>
            <w:sz w:val="20"/>
            <w:szCs w:val="20"/>
            <w:lang w:val="pl-PL"/>
          </w:rPr>
          <w:t>https://www.fluke.com/en-gb-products</w:t>
        </w:r>
      </w:hyperlink>
      <w:r w:rsidR="00F86623">
        <w:rPr>
          <w:rFonts w:eastAsia="Times New Roman"/>
          <w:sz w:val="20"/>
          <w:szCs w:val="20"/>
          <w:lang w:val="pl-PL"/>
        </w:rPr>
        <w:t xml:space="preserve"> </w:t>
      </w:r>
      <w:r>
        <w:rPr>
          <w:rFonts w:eastAsia="Times New Roman"/>
          <w:sz w:val="20"/>
          <w:szCs w:val="20"/>
          <w:lang w:val="pl-PL"/>
        </w:rPr>
        <w:t>;</w:t>
      </w:r>
    </w:p>
    <w:p w14:paraId="5D63454B" w14:textId="22AE1290" w:rsidR="006045CF" w:rsidRPr="006045CF" w:rsidRDefault="00A111D1" w:rsidP="008941D4">
      <w:pPr>
        <w:pStyle w:val="ListParagraph"/>
        <w:numPr>
          <w:ilvl w:val="0"/>
          <w:numId w:val="13"/>
        </w:numPr>
        <w:ind w:left="993" w:hanging="284"/>
        <w:jc w:val="both"/>
        <w:rPr>
          <w:sz w:val="20"/>
        </w:rPr>
      </w:pPr>
      <w:r>
        <w:rPr>
          <w:rFonts w:eastAsia="Times New Roman"/>
          <w:sz w:val="20"/>
          <w:szCs w:val="20"/>
          <w:lang w:val="pl-PL"/>
        </w:rPr>
        <w:t xml:space="preserve">Produkty marki Fluke Calibration wyszczególnione pod adresem </w:t>
      </w:r>
      <w:hyperlink r:id="rId17" w:history="1">
        <w:r w:rsidR="00F86623" w:rsidRPr="00A05288">
          <w:rPr>
            <w:rStyle w:val="Hyperlink"/>
            <w:rFonts w:eastAsia="Times New Roman"/>
            <w:sz w:val="20"/>
            <w:szCs w:val="20"/>
            <w:lang w:val="pl-PL"/>
          </w:rPr>
          <w:t>https://eu.flukecal.com/products</w:t>
        </w:r>
      </w:hyperlink>
      <w:r w:rsidR="00F86623">
        <w:rPr>
          <w:rFonts w:eastAsia="Times New Roman"/>
          <w:sz w:val="20"/>
          <w:szCs w:val="20"/>
          <w:lang w:val="pl-PL"/>
        </w:rPr>
        <w:t xml:space="preserve"> </w:t>
      </w:r>
      <w:r>
        <w:rPr>
          <w:rFonts w:eastAsia="Times New Roman"/>
          <w:sz w:val="20"/>
          <w:szCs w:val="20"/>
          <w:lang w:val="pl-PL"/>
        </w:rPr>
        <w:t xml:space="preserve"> (z wyłączeniem planów wsparcia i usług kalibracji); oraz </w:t>
      </w:r>
    </w:p>
    <w:p w14:paraId="4466478E" w14:textId="467687CF" w:rsidR="006045CF" w:rsidRPr="006045CF" w:rsidRDefault="00A111D1" w:rsidP="008941D4">
      <w:pPr>
        <w:pStyle w:val="ListParagraph"/>
        <w:numPr>
          <w:ilvl w:val="0"/>
          <w:numId w:val="13"/>
        </w:numPr>
        <w:ind w:left="993" w:hanging="284"/>
        <w:jc w:val="both"/>
        <w:rPr>
          <w:sz w:val="20"/>
        </w:rPr>
      </w:pPr>
      <w:r>
        <w:rPr>
          <w:rFonts w:eastAsia="Times New Roman"/>
          <w:sz w:val="20"/>
          <w:szCs w:val="20"/>
          <w:lang w:val="pl-PL"/>
        </w:rPr>
        <w:t xml:space="preserve">Produkty marki Fluke Networks wyszczególnione pod adresem </w:t>
      </w:r>
      <w:hyperlink r:id="rId18" w:history="1">
        <w:r w:rsidR="00F86623" w:rsidRPr="00A05288">
          <w:rPr>
            <w:rStyle w:val="Hyperlink"/>
            <w:rFonts w:eastAsia="Times New Roman"/>
            <w:sz w:val="20"/>
            <w:szCs w:val="20"/>
            <w:lang w:val="pl-PL"/>
          </w:rPr>
          <w:t>www.flukenetworks.com</w:t>
        </w:r>
      </w:hyperlink>
      <w:r w:rsidR="00F86623">
        <w:rPr>
          <w:rFonts w:eastAsia="Times New Roman"/>
          <w:sz w:val="20"/>
          <w:szCs w:val="20"/>
          <w:lang w:val="pl-PL"/>
        </w:rPr>
        <w:t xml:space="preserve"> </w:t>
      </w:r>
      <w:r>
        <w:rPr>
          <w:rFonts w:eastAsia="Times New Roman"/>
          <w:sz w:val="20"/>
          <w:szCs w:val="20"/>
          <w:lang w:val="pl-PL"/>
        </w:rPr>
        <w:t>.</w:t>
      </w:r>
    </w:p>
    <w:p w14:paraId="22D3EF59" w14:textId="15ABFDAA" w:rsidR="006045CF" w:rsidRPr="006045CF" w:rsidRDefault="00A111D1" w:rsidP="008941D4">
      <w:pPr>
        <w:pStyle w:val="ListParagraph"/>
        <w:numPr>
          <w:ilvl w:val="0"/>
          <w:numId w:val="13"/>
        </w:numPr>
        <w:ind w:left="993" w:hanging="284"/>
        <w:jc w:val="both"/>
        <w:rPr>
          <w:sz w:val="20"/>
        </w:rPr>
      </w:pPr>
      <w:r>
        <w:rPr>
          <w:rFonts w:eastAsia="Times New Roman"/>
          <w:sz w:val="20"/>
          <w:szCs w:val="20"/>
          <w:lang w:val="pl-PL"/>
        </w:rPr>
        <w:t xml:space="preserve">Produkty Beha Amprobe wyszczególnione pod adresem </w:t>
      </w:r>
      <w:hyperlink r:id="rId19" w:history="1">
        <w:r w:rsidR="00F86623" w:rsidRPr="00A05288">
          <w:rPr>
            <w:rStyle w:val="Hyperlink"/>
            <w:rFonts w:eastAsia="Times New Roman"/>
            <w:sz w:val="20"/>
            <w:szCs w:val="20"/>
            <w:lang w:val="pl-PL"/>
          </w:rPr>
          <w:t>www.beha-amprobe.com</w:t>
        </w:r>
      </w:hyperlink>
      <w:r w:rsidR="00F86623">
        <w:rPr>
          <w:rFonts w:eastAsia="Times New Roman"/>
          <w:sz w:val="20"/>
          <w:szCs w:val="20"/>
          <w:lang w:val="pl-PL"/>
        </w:rPr>
        <w:t xml:space="preserve"> </w:t>
      </w:r>
    </w:p>
    <w:p w14:paraId="7BF94599" w14:textId="77777777" w:rsidR="008941D4" w:rsidRDefault="008941D4" w:rsidP="006045CF">
      <w:pPr>
        <w:pStyle w:val="ListParagraph"/>
        <w:jc w:val="both"/>
        <w:rPr>
          <w:sz w:val="20"/>
        </w:rPr>
      </w:pPr>
    </w:p>
    <w:p w14:paraId="484C70E7" w14:textId="3A67CF7A" w:rsidR="000B2D6B" w:rsidRDefault="00A111D1" w:rsidP="006045CF">
      <w:pPr>
        <w:pStyle w:val="ListParagraph"/>
        <w:jc w:val="both"/>
        <w:rPr>
          <w:sz w:val="20"/>
        </w:rPr>
      </w:pPr>
      <w:r>
        <w:rPr>
          <w:rFonts w:eastAsia="Times New Roman"/>
          <w:sz w:val="20"/>
          <w:szCs w:val="20"/>
          <w:lang w:val="pl-PL"/>
        </w:rPr>
        <w:t>Powyższa lista nie obejmuje żadnych innych produktów firmy Fluke i powiązanych marek, w tym m. in. produktów Fluke Biomedical, Fluke Reliability Systems, Pomona, Comark, Irisys, oprogramowania eMaint i systemów Pacific Laser Systems.</w:t>
      </w:r>
    </w:p>
    <w:p w14:paraId="204EDC7E" w14:textId="77777777" w:rsidR="002A45D9" w:rsidRDefault="002A45D9" w:rsidP="006045CF">
      <w:pPr>
        <w:pStyle w:val="ListParagraph"/>
        <w:jc w:val="both"/>
        <w:rPr>
          <w:sz w:val="20"/>
        </w:rPr>
      </w:pPr>
    </w:p>
    <w:p w14:paraId="24E5917C" w14:textId="66EC3BD7" w:rsidR="002A45D9" w:rsidRPr="00A111D1" w:rsidRDefault="00A111D1" w:rsidP="006045CF">
      <w:pPr>
        <w:pStyle w:val="ListParagraph"/>
        <w:jc w:val="both"/>
        <w:rPr>
          <w:sz w:val="20"/>
          <w:lang w:val="pl-PL"/>
        </w:rPr>
      </w:pPr>
      <w:r>
        <w:rPr>
          <w:rFonts w:eastAsia="Times New Roman"/>
          <w:sz w:val="20"/>
          <w:szCs w:val="20"/>
          <w:lang w:val="pl-PL"/>
        </w:rPr>
        <w:t>Uprawnieni klienci mogą odebrać jeden (1) Prezent, odpowiedni do ceny netto zapłaconej przy zakupie Produktów Fluke objętych promocją w Okresie Programu (bez podatku VAT i innych podatków od sprzedaży, kosztów wysyłki/obsługi oraz innych opłat), wybrany przez siebie spośród przedstawionych poniżej opcji. W przypadku, gdy na fakturach oprócz Produktów objętych Promocją występują również inne produkty, przy kwalifikacji do kategorii Prezentu będą brane pod uwagę wyłącznie kwoty z faktur odnoszące się do Produktów objętych Promocją – zgodnie z opisem podanym poniżej.</w:t>
      </w:r>
    </w:p>
    <w:p w14:paraId="2CCD8593" w14:textId="4B88CF07" w:rsidR="000C4619" w:rsidRPr="00A111D1" w:rsidRDefault="000C4619" w:rsidP="00177E84">
      <w:pPr>
        <w:pStyle w:val="ListParagraph"/>
        <w:jc w:val="both"/>
        <w:rPr>
          <w:sz w:val="20"/>
          <w:lang w:val="pl-PL"/>
        </w:rPr>
      </w:pPr>
    </w:p>
    <w:p w14:paraId="53AEE716" w14:textId="5D8108BB" w:rsidR="008F5EAE" w:rsidRDefault="008F2971" w:rsidP="00A111D1">
      <w:pPr>
        <w:pStyle w:val="ListParagraph"/>
        <w:jc w:val="both"/>
        <w:rPr>
          <w:sz w:val="20"/>
          <w:lang w:val="pl-PL"/>
        </w:rPr>
      </w:pPr>
      <w:r>
        <w:rPr>
          <w:noProof/>
        </w:rPr>
        <w:drawing>
          <wp:inline distT="0" distB="0" distL="0" distR="0" wp14:anchorId="3A38E2BF" wp14:editId="114D4F8A">
            <wp:extent cx="5943600" cy="2847975"/>
            <wp:effectExtent l="0" t="0" r="0" b="9525"/>
            <wp:docPr id="2067875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7592" name="Picture 1" descr="A screenshot of a computer&#10;&#10;Description automatically generated"/>
                    <pic:cNvPicPr/>
                  </pic:nvPicPr>
                  <pic:blipFill>
                    <a:blip r:embed="rId20"/>
                    <a:stretch>
                      <a:fillRect/>
                    </a:stretch>
                  </pic:blipFill>
                  <pic:spPr>
                    <a:xfrm>
                      <a:off x="0" y="0"/>
                      <a:ext cx="5943600" cy="2847975"/>
                    </a:xfrm>
                    <a:prstGeom prst="rect">
                      <a:avLst/>
                    </a:prstGeom>
                  </pic:spPr>
                </pic:pic>
              </a:graphicData>
            </a:graphic>
          </wp:inline>
        </w:drawing>
      </w:r>
    </w:p>
    <w:p w14:paraId="0B31C5C3" w14:textId="5FA18D19" w:rsidR="00A111D1" w:rsidRPr="008F5EAE" w:rsidRDefault="008F5EAE" w:rsidP="00A111D1">
      <w:pPr>
        <w:pStyle w:val="ListParagraph"/>
        <w:jc w:val="both"/>
        <w:rPr>
          <w:sz w:val="20"/>
          <w:lang w:val="pl-PL"/>
        </w:rPr>
      </w:pPr>
      <w:r w:rsidRPr="008F5EAE">
        <w:rPr>
          <w:sz w:val="20"/>
          <w:lang w:val="pl-PL"/>
        </w:rPr>
        <w:t>Firma Fluke zastrzega sobie prawo do zastąpienia wybranego prezentu odpowiednim alternatywnym przedmiotem o takiej samej wartości (określonym przez Sponsora według jego własnego uznania), jeśli pierwotnie wybrany prezent stanie się niedostępny lub jego dostawa ulegnie wydłużeniu. Klienci zostaną należycie powiadomieni o każdej takiej zmianie.</w:t>
      </w:r>
    </w:p>
    <w:p w14:paraId="386A4FDE" w14:textId="77777777" w:rsidR="008F2A3A" w:rsidRPr="00A111D1" w:rsidRDefault="008F2A3A" w:rsidP="00177E84">
      <w:pPr>
        <w:pStyle w:val="ListParagraph"/>
        <w:jc w:val="both"/>
        <w:rPr>
          <w:sz w:val="20"/>
          <w:lang w:val="pl-PL"/>
        </w:rPr>
      </w:pPr>
    </w:p>
    <w:p w14:paraId="2B2FDD51" w14:textId="7ECAF016" w:rsidR="000A4866" w:rsidRPr="00A111D1" w:rsidRDefault="00A111D1" w:rsidP="00F805DE">
      <w:pPr>
        <w:pStyle w:val="ListParagraph"/>
        <w:numPr>
          <w:ilvl w:val="1"/>
          <w:numId w:val="14"/>
        </w:numPr>
        <w:jc w:val="both"/>
        <w:rPr>
          <w:sz w:val="20"/>
          <w:lang w:val="pl-PL"/>
        </w:rPr>
      </w:pPr>
      <w:r>
        <w:rPr>
          <w:rFonts w:eastAsia="Times New Roman"/>
          <w:sz w:val="20"/>
          <w:szCs w:val="20"/>
          <w:lang w:val="pl-PL"/>
        </w:rPr>
        <w:t xml:space="preserve">Zarejestruj zgłoszenie za pomocą formularza online do rejestracji udziału w Promocji, dostępnego </w:t>
      </w:r>
      <w:r w:rsidRPr="00F86623">
        <w:rPr>
          <w:rFonts w:eastAsia="Times New Roman"/>
          <w:sz w:val="20"/>
          <w:szCs w:val="20"/>
          <w:lang w:val="pl-PL"/>
        </w:rPr>
        <w:t xml:space="preserve">pod adresem </w:t>
      </w:r>
      <w:hyperlink r:id="rId21" w:history="1">
        <w:r w:rsidR="008F5EAE" w:rsidRPr="0031558E">
          <w:rPr>
            <w:rStyle w:val="Hyperlink"/>
            <w:rFonts w:eastAsia="Times New Roman"/>
            <w:sz w:val="20"/>
            <w:szCs w:val="20"/>
            <w:lang w:val="pl-PL"/>
          </w:rPr>
          <w:t>www.fluke.pl/freegift</w:t>
        </w:r>
      </w:hyperlink>
      <w:r w:rsidRPr="00F86623">
        <w:rPr>
          <w:rFonts w:eastAsia="Times New Roman"/>
          <w:sz w:val="20"/>
          <w:szCs w:val="20"/>
          <w:lang w:val="pl-PL"/>
        </w:rPr>
        <w:t>. Formularz uczestnictwa w Promocji musi być całkowicie</w:t>
      </w:r>
      <w:r>
        <w:rPr>
          <w:rFonts w:eastAsia="Times New Roman"/>
          <w:sz w:val="20"/>
          <w:szCs w:val="20"/>
          <w:lang w:val="pl-PL"/>
        </w:rPr>
        <w:t xml:space="preserve"> wypełniony i przekazany wraz z wyraźnym, czytelnym skanem faktury stanowiącej dowód zakupu, obejmującej przynajmniej jeden (1) Zakup uprawniający zrealizowany w Okresie Programu. Jako dowód zakupu nie są akceptowane specyfikacje przesyłek, zamówienia ani potwierdzenia zamówień. Faktury wystawione w terminie poza Okresem Programu nie będą uwzględniane. Do uzyskania Prezentu oprócz dowodu zakupu będzie wymagany adres klienta.</w:t>
      </w:r>
    </w:p>
    <w:p w14:paraId="4BAE8F34" w14:textId="77777777" w:rsidR="00455ABE" w:rsidRPr="00A111D1" w:rsidRDefault="00455ABE" w:rsidP="00464ABC">
      <w:pPr>
        <w:pStyle w:val="ListParagraph"/>
        <w:jc w:val="both"/>
        <w:rPr>
          <w:sz w:val="20"/>
          <w:lang w:val="pl-PL"/>
        </w:rPr>
      </w:pPr>
    </w:p>
    <w:p w14:paraId="323451E1" w14:textId="194C9050" w:rsidR="004B7015" w:rsidRPr="00A111D1" w:rsidRDefault="00A111D1" w:rsidP="00F805DE">
      <w:pPr>
        <w:pStyle w:val="ListParagraph"/>
        <w:numPr>
          <w:ilvl w:val="1"/>
          <w:numId w:val="14"/>
        </w:numPr>
        <w:jc w:val="both"/>
        <w:rPr>
          <w:sz w:val="20"/>
          <w:lang w:val="pl-PL"/>
        </w:rPr>
      </w:pPr>
      <w:r>
        <w:rPr>
          <w:rFonts w:eastAsia="Times New Roman"/>
          <w:sz w:val="20"/>
          <w:szCs w:val="20"/>
          <w:lang w:val="pl-PL"/>
        </w:rPr>
        <w:t>Klienci dokonują wyboru Prezentu w formularzu rejestracyjnym online, na podstawie poziomu kwoty z faktury.</w:t>
      </w:r>
    </w:p>
    <w:p w14:paraId="1F6DBF72" w14:textId="77777777" w:rsidR="00346B02" w:rsidRPr="00A111D1" w:rsidRDefault="00346B02" w:rsidP="00464ABC">
      <w:pPr>
        <w:pStyle w:val="ListParagraph"/>
        <w:jc w:val="both"/>
        <w:rPr>
          <w:sz w:val="20"/>
          <w:lang w:val="pl-PL"/>
        </w:rPr>
      </w:pPr>
    </w:p>
    <w:p w14:paraId="7F9E017D" w14:textId="6F36ABE7" w:rsidR="00A741E1" w:rsidRPr="00A111D1" w:rsidRDefault="00A111D1" w:rsidP="00F805DE">
      <w:pPr>
        <w:pStyle w:val="ListParagraph"/>
        <w:numPr>
          <w:ilvl w:val="1"/>
          <w:numId w:val="14"/>
        </w:numPr>
        <w:jc w:val="both"/>
        <w:rPr>
          <w:kern w:val="2"/>
          <w:sz w:val="20"/>
          <w:lang w:val="pl-PL"/>
        </w:rPr>
      </w:pPr>
      <w:r>
        <w:rPr>
          <w:rFonts w:eastAsia="Times New Roman"/>
          <w:kern w:val="2"/>
          <w:sz w:val="20"/>
          <w:szCs w:val="20"/>
          <w:lang w:val="pl-PL"/>
        </w:rPr>
        <w:t>Należy pamiętać, że faktur nie można łączyć ani wykorzystać więcej niż jeden raz. W przypadku, gdy na fakturach oprócz Zakupów uprawniających widnieją również inne produkty, przy kwalifikacji do Prezentu będą brane pod uwagę wyłącznie kwoty z faktur odnoszące się do Zakupów uprawniających.</w:t>
      </w:r>
    </w:p>
    <w:p w14:paraId="6ED58CD9" w14:textId="77777777" w:rsidR="000A4866" w:rsidRPr="00A111D1" w:rsidRDefault="000A4866" w:rsidP="000A4866">
      <w:pPr>
        <w:pStyle w:val="ListParagraph"/>
        <w:rPr>
          <w:rFonts w:cstheme="minorHAnsi"/>
          <w:sz w:val="20"/>
          <w:szCs w:val="18"/>
          <w:lang w:val="pl-PL"/>
        </w:rPr>
      </w:pPr>
    </w:p>
    <w:p w14:paraId="51124518" w14:textId="43141CE7" w:rsidR="00F5105E" w:rsidRPr="008F5EAE" w:rsidRDefault="00A111D1" w:rsidP="00F805DE">
      <w:pPr>
        <w:pStyle w:val="ListParagraph"/>
        <w:numPr>
          <w:ilvl w:val="1"/>
          <w:numId w:val="14"/>
        </w:numPr>
        <w:jc w:val="both"/>
        <w:rPr>
          <w:sz w:val="20"/>
          <w:lang w:val="pl-PL"/>
        </w:rPr>
      </w:pPr>
      <w:r>
        <w:rPr>
          <w:rFonts w:eastAsia="Times New Roman" w:cs="Calibri"/>
          <w:sz w:val="20"/>
          <w:szCs w:val="20"/>
          <w:lang w:val="pl-PL"/>
        </w:rPr>
        <w:t xml:space="preserve">Sponsor będzie przyjmował ważne zgłoszenia do </w:t>
      </w:r>
      <w:r>
        <w:rPr>
          <w:rFonts w:eastAsia="Times New Roman" w:cs="Calibri"/>
          <w:b/>
          <w:bCs/>
          <w:sz w:val="20"/>
          <w:szCs w:val="20"/>
          <w:lang w:val="pl-PL"/>
        </w:rPr>
        <w:t>3</w:t>
      </w:r>
      <w:r w:rsidR="008F5EAE">
        <w:rPr>
          <w:rFonts w:eastAsia="Times New Roman" w:cs="Calibri"/>
          <w:b/>
          <w:bCs/>
          <w:sz w:val="20"/>
          <w:szCs w:val="20"/>
          <w:lang w:val="pl-PL"/>
        </w:rPr>
        <w:t>1-08-2025</w:t>
      </w:r>
      <w:r>
        <w:rPr>
          <w:rFonts w:eastAsia="Times New Roman" w:cs="Calibri"/>
          <w:b/>
          <w:bCs/>
          <w:sz w:val="20"/>
          <w:szCs w:val="20"/>
          <w:lang w:val="pl-PL"/>
        </w:rPr>
        <w:t xml:space="preserve"> r.</w:t>
      </w:r>
      <w:r>
        <w:rPr>
          <w:rFonts w:eastAsia="Times New Roman" w:cs="Calibri"/>
          <w:sz w:val="20"/>
          <w:szCs w:val="20"/>
          <w:lang w:val="pl-PL"/>
        </w:rPr>
        <w:t xml:space="preserve"> (</w:t>
      </w:r>
      <w:r>
        <w:rPr>
          <w:rFonts w:eastAsia="Times New Roman"/>
          <w:sz w:val="20"/>
          <w:szCs w:val="20"/>
          <w:lang w:val="pl-PL"/>
        </w:rPr>
        <w:t>„</w:t>
      </w:r>
      <w:r>
        <w:rPr>
          <w:rFonts w:eastAsia="Times New Roman" w:cs="Calibri"/>
          <w:b/>
          <w:bCs/>
          <w:sz w:val="20"/>
          <w:szCs w:val="20"/>
          <w:lang w:val="pl-PL"/>
        </w:rPr>
        <w:t>Termin przesyłania zgłoszeń</w:t>
      </w:r>
      <w:r>
        <w:rPr>
          <w:rFonts w:eastAsia="Times New Roman"/>
          <w:sz w:val="20"/>
          <w:szCs w:val="20"/>
          <w:lang w:val="pl-PL"/>
        </w:rPr>
        <w:t>”</w:t>
      </w:r>
      <w:r>
        <w:rPr>
          <w:rFonts w:eastAsia="Times New Roman" w:cs="Calibri"/>
          <w:sz w:val="20"/>
          <w:szCs w:val="20"/>
          <w:lang w:val="pl-PL"/>
        </w:rPr>
        <w:t xml:space="preserve">).  Zgłoszenia zarejestrowane po tym terminie zostaną odrzucone jako nieważne. </w:t>
      </w:r>
    </w:p>
    <w:p w14:paraId="2AA3E8DF" w14:textId="77777777" w:rsidR="000A4866" w:rsidRPr="008F5EAE" w:rsidRDefault="000A4866" w:rsidP="000A4866">
      <w:pPr>
        <w:pStyle w:val="ListParagraph"/>
        <w:jc w:val="both"/>
        <w:rPr>
          <w:sz w:val="20"/>
          <w:szCs w:val="20"/>
          <w:lang w:val="pl-PL"/>
        </w:rPr>
      </w:pPr>
    </w:p>
    <w:p w14:paraId="2AFAE8D2" w14:textId="68516D3E" w:rsidR="00F5105E" w:rsidRPr="00A111D1" w:rsidRDefault="00A111D1" w:rsidP="00F805DE">
      <w:pPr>
        <w:pStyle w:val="ListParagraph"/>
        <w:numPr>
          <w:ilvl w:val="1"/>
          <w:numId w:val="14"/>
        </w:numPr>
        <w:jc w:val="both"/>
        <w:rPr>
          <w:sz w:val="20"/>
          <w:szCs w:val="20"/>
          <w:lang w:val="pl-PL"/>
        </w:rPr>
      </w:pPr>
      <w:r>
        <w:rPr>
          <w:rFonts w:eastAsia="Times New Roman"/>
          <w:sz w:val="20"/>
          <w:szCs w:val="20"/>
          <w:lang w:val="pl-PL"/>
        </w:rPr>
        <w:t>Sponsor</w:t>
      </w:r>
      <w:r>
        <w:rPr>
          <w:rFonts w:eastAsia="Times New Roman" w:cs="Calibri"/>
          <w:sz w:val="20"/>
          <w:szCs w:val="20"/>
          <w:lang w:val="pl-PL"/>
        </w:rPr>
        <w:t xml:space="preserve"> </w:t>
      </w:r>
      <w:r>
        <w:rPr>
          <w:rFonts w:eastAsia="Times New Roman"/>
          <w:sz w:val="20"/>
          <w:szCs w:val="20"/>
          <w:lang w:val="pl-PL"/>
        </w:rPr>
        <w:t xml:space="preserve">lub jego agenci </w:t>
      </w:r>
      <w:r>
        <w:rPr>
          <w:rFonts w:eastAsia="Times New Roman" w:cs="Calibri"/>
          <w:sz w:val="20"/>
          <w:szCs w:val="20"/>
          <w:lang w:val="pl-PL"/>
        </w:rPr>
        <w:t xml:space="preserve">zweryfikują złożone zgłoszenia </w:t>
      </w:r>
      <w:r>
        <w:rPr>
          <w:rFonts w:eastAsia="Times New Roman"/>
          <w:sz w:val="20"/>
          <w:szCs w:val="20"/>
          <w:lang w:val="pl-PL"/>
        </w:rPr>
        <w:t xml:space="preserve">wraz z dostarczonymi </w:t>
      </w:r>
      <w:r>
        <w:rPr>
          <w:rFonts w:eastAsia="Times New Roman" w:cs="Calibri"/>
          <w:sz w:val="20"/>
          <w:szCs w:val="20"/>
          <w:lang w:val="pl-PL"/>
        </w:rPr>
        <w:t>skanami faktur. W przypadku nieprawidłowości w formularzu Sponsor będzie miał prawo, według własnego uznania, do ustalenia, czy klient kwalifikuje się do otrzymania Prezentu. Jeśli Sponsor ustali, że zgłoszenie klienta nie jest zgodne z niniejszym regulaminem</w:t>
      </w:r>
      <w:r>
        <w:rPr>
          <w:rFonts w:eastAsia="Times New Roman"/>
          <w:sz w:val="20"/>
          <w:szCs w:val="20"/>
          <w:lang w:val="pl-PL"/>
        </w:rPr>
        <w:t xml:space="preserve"> </w:t>
      </w:r>
      <w:r>
        <w:rPr>
          <w:rFonts w:eastAsia="Times New Roman" w:cs="Calibri"/>
          <w:sz w:val="20"/>
          <w:szCs w:val="20"/>
          <w:lang w:val="pl-PL"/>
        </w:rPr>
        <w:t>lub klient nie jest uprawniony z innego powodu, klient otrzyma stosowne powiadomienie.</w:t>
      </w:r>
    </w:p>
    <w:p w14:paraId="372FE9BB" w14:textId="77777777" w:rsidR="000A4866" w:rsidRPr="00A111D1" w:rsidRDefault="000A4866" w:rsidP="000A4866">
      <w:pPr>
        <w:pStyle w:val="ListParagraph"/>
        <w:jc w:val="both"/>
        <w:rPr>
          <w:sz w:val="20"/>
          <w:szCs w:val="20"/>
          <w:lang w:val="pl-PL"/>
        </w:rPr>
      </w:pPr>
    </w:p>
    <w:p w14:paraId="54701A51" w14:textId="0C28D8AA" w:rsidR="00F5105E" w:rsidRPr="00A111D1" w:rsidRDefault="00A111D1" w:rsidP="00F805DE">
      <w:pPr>
        <w:pStyle w:val="ListParagraph"/>
        <w:numPr>
          <w:ilvl w:val="1"/>
          <w:numId w:val="14"/>
        </w:numPr>
        <w:jc w:val="both"/>
        <w:rPr>
          <w:sz w:val="20"/>
          <w:szCs w:val="20"/>
          <w:lang w:val="pl-PL"/>
        </w:rPr>
      </w:pPr>
      <w:r>
        <w:rPr>
          <w:rFonts w:eastAsia="Times New Roman" w:cs="Calibri"/>
          <w:sz w:val="20"/>
          <w:szCs w:val="20"/>
          <w:lang w:val="pl-PL"/>
        </w:rPr>
        <w:t xml:space="preserve">W ciągu </w:t>
      </w:r>
      <w:r w:rsidR="0059669D">
        <w:rPr>
          <w:rFonts w:eastAsia="Times New Roman"/>
          <w:sz w:val="20"/>
          <w:szCs w:val="20"/>
          <w:lang w:val="pl-PL"/>
        </w:rPr>
        <w:t>60-75</w:t>
      </w:r>
      <w:r>
        <w:rPr>
          <w:rFonts w:eastAsia="Times New Roman" w:cs="Calibri"/>
          <w:sz w:val="20"/>
          <w:szCs w:val="20"/>
          <w:lang w:val="pl-PL"/>
        </w:rPr>
        <w:t xml:space="preserve"> dni od upływu Terminu przesyłania zgłoszeń Sponsor lub jego przedstawiciele wyślą Prezent na adres </w:t>
      </w:r>
      <w:r>
        <w:rPr>
          <w:rFonts w:eastAsia="Times New Roman"/>
          <w:sz w:val="20"/>
          <w:szCs w:val="20"/>
          <w:lang w:val="pl-PL"/>
        </w:rPr>
        <w:t>podany</w:t>
      </w:r>
      <w:r>
        <w:rPr>
          <w:rFonts w:eastAsia="Times New Roman" w:cs="Calibri"/>
          <w:sz w:val="20"/>
          <w:szCs w:val="20"/>
          <w:lang w:val="pl-PL"/>
        </w:rPr>
        <w:t xml:space="preserve"> przez klienta.</w:t>
      </w:r>
    </w:p>
    <w:p w14:paraId="06732B85" w14:textId="77777777" w:rsidR="000A4866" w:rsidRPr="00A111D1" w:rsidRDefault="000A4866" w:rsidP="000A4866">
      <w:pPr>
        <w:pStyle w:val="ListParagraph"/>
        <w:jc w:val="both"/>
        <w:rPr>
          <w:sz w:val="20"/>
          <w:szCs w:val="20"/>
          <w:lang w:val="pl-PL"/>
        </w:rPr>
      </w:pPr>
    </w:p>
    <w:p w14:paraId="3482C733" w14:textId="0C20EED9" w:rsidR="00F5105E" w:rsidRPr="00A111D1" w:rsidRDefault="00A111D1" w:rsidP="00F805DE">
      <w:pPr>
        <w:pStyle w:val="ListParagraph"/>
        <w:numPr>
          <w:ilvl w:val="1"/>
          <w:numId w:val="14"/>
        </w:numPr>
        <w:jc w:val="both"/>
        <w:rPr>
          <w:sz w:val="20"/>
          <w:szCs w:val="20"/>
          <w:lang w:val="pl-PL"/>
        </w:rPr>
      </w:pPr>
      <w:r>
        <w:rPr>
          <w:rFonts w:eastAsia="Times New Roman" w:cs="Calibri"/>
          <w:sz w:val="20"/>
          <w:szCs w:val="20"/>
          <w:lang w:val="pl-PL"/>
        </w:rPr>
        <w:t xml:space="preserve">W </w:t>
      </w:r>
      <w:r>
        <w:rPr>
          <w:rFonts w:eastAsia="Times New Roman"/>
          <w:sz w:val="20"/>
          <w:szCs w:val="20"/>
          <w:lang w:val="pl-PL"/>
        </w:rPr>
        <w:t>przypadku</w:t>
      </w:r>
      <w:r>
        <w:rPr>
          <w:rFonts w:eastAsia="Times New Roman" w:cs="Calibri"/>
          <w:sz w:val="20"/>
          <w:szCs w:val="20"/>
          <w:lang w:val="pl-PL"/>
        </w:rPr>
        <w:t xml:space="preserve"> nieotrzymania </w:t>
      </w:r>
      <w:r>
        <w:rPr>
          <w:rFonts w:eastAsia="Times New Roman"/>
          <w:sz w:val="20"/>
          <w:szCs w:val="20"/>
          <w:lang w:val="pl-PL"/>
        </w:rPr>
        <w:t>Prezentu</w:t>
      </w:r>
      <w:r>
        <w:rPr>
          <w:rFonts w:eastAsia="Times New Roman" w:cs="Calibri"/>
          <w:sz w:val="20"/>
          <w:szCs w:val="20"/>
          <w:lang w:val="pl-PL"/>
        </w:rPr>
        <w:t xml:space="preserve"> klient powinien poinformować o tym Sponsora jak najszybciej, jednak nie później niż </w:t>
      </w:r>
      <w:r>
        <w:rPr>
          <w:rFonts w:eastAsia="Times New Roman" w:cs="Calibri"/>
          <w:b/>
          <w:bCs/>
          <w:sz w:val="20"/>
          <w:szCs w:val="20"/>
          <w:lang w:val="pl-PL"/>
        </w:rPr>
        <w:t>3</w:t>
      </w:r>
      <w:r w:rsidR="008F5EAE">
        <w:rPr>
          <w:rFonts w:eastAsia="Times New Roman" w:cs="Calibri"/>
          <w:b/>
          <w:bCs/>
          <w:sz w:val="20"/>
          <w:szCs w:val="20"/>
          <w:lang w:val="pl-PL"/>
        </w:rPr>
        <w:t>0-09-2025</w:t>
      </w:r>
      <w:r>
        <w:rPr>
          <w:rFonts w:eastAsia="Times New Roman" w:cs="Calibri"/>
          <w:b/>
          <w:bCs/>
          <w:sz w:val="20"/>
          <w:szCs w:val="20"/>
          <w:lang w:val="pl-PL"/>
        </w:rPr>
        <w:t xml:space="preserve"> r</w:t>
      </w:r>
      <w:r>
        <w:rPr>
          <w:rFonts w:eastAsia="Times New Roman" w:cs="Calibri"/>
          <w:sz w:val="20"/>
          <w:szCs w:val="20"/>
          <w:lang w:val="pl-PL"/>
        </w:rPr>
        <w:t>. Zgłoszenia dotyczące nieotrzymania Prezentu odebrane po tym terminie będą rozstrzygane wyłącznie według własnego uznania Sponsora.</w:t>
      </w:r>
    </w:p>
    <w:p w14:paraId="03270FB4" w14:textId="77777777" w:rsidR="006D63B1" w:rsidRPr="00A111D1" w:rsidRDefault="006D63B1" w:rsidP="006D63B1">
      <w:pPr>
        <w:pStyle w:val="ListParagraph"/>
        <w:rPr>
          <w:sz w:val="20"/>
          <w:szCs w:val="20"/>
          <w:lang w:val="pl-PL"/>
        </w:rPr>
      </w:pPr>
    </w:p>
    <w:p w14:paraId="1782774A" w14:textId="0BD5E68B" w:rsidR="006D63B1" w:rsidRPr="00A111D1" w:rsidRDefault="00A111D1" w:rsidP="006D63B1">
      <w:pPr>
        <w:pStyle w:val="ListParagraph"/>
        <w:ind w:left="284"/>
        <w:jc w:val="both"/>
        <w:rPr>
          <w:sz w:val="20"/>
          <w:szCs w:val="20"/>
          <w:lang w:val="pl-PL"/>
        </w:rPr>
      </w:pPr>
      <w:r>
        <w:rPr>
          <w:rFonts w:eastAsia="Times New Roman"/>
          <w:sz w:val="20"/>
          <w:szCs w:val="20"/>
          <w:lang w:val="pl-PL"/>
        </w:rPr>
        <w:t>Prezenty muszą być wysłane na adres fizyczny klienta.  Prezenty nie mogą być wysyłane do skrytek pocztowych, firm przesyłających paczki dalej ani dystrybutorów.  Zamówienia prezentowe podlegają dalszej inspekcji według wyłącznego uznania Sponsora, a w przypadku stwierdzenia przez Sponsora oszustwa lub jakiejkolwiek niezgodności z niniejszym regulaminem Sponsor może według własnego uznania unieważnić takie zamówienie, w którym to przypadku nie zostanie ono uznane.  Sponsor może wymagać od klientów przedstawienia dodatkowego dowodu zakupu, w tym w szczególności fizycznych kodów przewoźników z opakowań, numerów seryjnych produktów lub dowodu dostawy.</w:t>
      </w:r>
    </w:p>
    <w:p w14:paraId="3A72A1FA" w14:textId="77777777" w:rsidR="00AE1F95" w:rsidRPr="00A111D1" w:rsidRDefault="00AE1F95" w:rsidP="000A4866">
      <w:pPr>
        <w:pStyle w:val="OutlineL2"/>
        <w:numPr>
          <w:ilvl w:val="0"/>
          <w:numId w:val="0"/>
        </w:numPr>
        <w:ind w:left="270"/>
        <w:contextualSpacing/>
        <w:rPr>
          <w:rFonts w:ascii="Times New Roman" w:hAnsi="Times New Roman"/>
          <w:color w:val="auto"/>
          <w:sz w:val="20"/>
          <w:lang w:val="pl-PL"/>
        </w:rPr>
      </w:pPr>
    </w:p>
    <w:p w14:paraId="1A2B5DCC" w14:textId="4CE9D3AC" w:rsidR="00227B20" w:rsidRPr="00A111D1" w:rsidRDefault="00A111D1" w:rsidP="006D63B1">
      <w:pPr>
        <w:pStyle w:val="BodyText"/>
        <w:spacing w:after="0"/>
        <w:ind w:left="284"/>
        <w:jc w:val="both"/>
        <w:rPr>
          <w:rFonts w:ascii="Times New Roman" w:hAnsi="Times New Roman"/>
          <w:sz w:val="20"/>
          <w:lang w:val="pl-PL"/>
        </w:rPr>
      </w:pPr>
      <w:r>
        <w:rPr>
          <w:rFonts w:ascii="Times New Roman" w:eastAsia="Times New Roman" w:hAnsi="Times New Roman"/>
          <w:bCs/>
          <w:sz w:val="20"/>
          <w:szCs w:val="20"/>
          <w:lang w:val="pl-PL"/>
        </w:rPr>
        <w:t>Prezent zostanie wysłany oddzielnie od Zakupu uprawniającego. Zakup uprawniający zostanie wysłany przez autoryzowanego dystrybutora, u którego został zrealizowany.</w:t>
      </w:r>
    </w:p>
    <w:p w14:paraId="3B68E56B" w14:textId="77777777" w:rsidR="00080806" w:rsidRPr="00A111D1" w:rsidRDefault="00080806" w:rsidP="006D63B1">
      <w:pPr>
        <w:pStyle w:val="BodyText"/>
        <w:spacing w:after="0"/>
        <w:ind w:left="284"/>
        <w:jc w:val="both"/>
        <w:rPr>
          <w:rFonts w:ascii="Times New Roman" w:hAnsi="Times New Roman"/>
          <w:bCs/>
          <w:sz w:val="20"/>
          <w:szCs w:val="20"/>
          <w:lang w:val="pl-PL"/>
        </w:rPr>
      </w:pPr>
    </w:p>
    <w:p w14:paraId="009F1A76" w14:textId="4D0D7B13" w:rsidR="00080806" w:rsidRPr="00A111D1" w:rsidRDefault="00A111D1" w:rsidP="006D63B1">
      <w:pPr>
        <w:pStyle w:val="BodyText"/>
        <w:spacing w:after="0"/>
        <w:ind w:left="284"/>
        <w:jc w:val="both"/>
        <w:rPr>
          <w:rFonts w:ascii="Times New Roman" w:hAnsi="Times New Roman"/>
          <w:sz w:val="20"/>
          <w:szCs w:val="20"/>
          <w:lang w:val="pl-PL"/>
        </w:rPr>
      </w:pPr>
      <w:r>
        <w:rPr>
          <w:rFonts w:ascii="Times New Roman" w:eastAsia="Times New Roman" w:hAnsi="Times New Roman"/>
          <w:sz w:val="20"/>
          <w:szCs w:val="20"/>
          <w:lang w:val="pl-PL"/>
        </w:rPr>
        <w:t>Promocja ta jest promocją samodzielną i nie obowiązuje w połączeniu z innymi promocjami, ofertami, zniżkami czy kuponami. Prezent nie może służyć do odliczania należności za inne usługi ani zakupy. Nie można go również łączyć z żadnymi ofertami specjalnymi, promocjami czy umowami.</w:t>
      </w:r>
    </w:p>
    <w:p w14:paraId="44E30062" w14:textId="77777777" w:rsidR="00F5105E" w:rsidRDefault="00F5105E" w:rsidP="006D63B1">
      <w:pPr>
        <w:pStyle w:val="BodyText"/>
        <w:spacing w:after="0"/>
        <w:ind w:left="284"/>
        <w:rPr>
          <w:rFonts w:ascii="Times New Roman" w:hAnsi="Times New Roman"/>
          <w:sz w:val="20"/>
          <w:szCs w:val="20"/>
          <w:lang w:val="pl-PL"/>
        </w:rPr>
      </w:pPr>
    </w:p>
    <w:p w14:paraId="4A8D830F" w14:textId="482DE14B" w:rsidR="006B3ADE" w:rsidRPr="00731045" w:rsidRDefault="006B3ADE" w:rsidP="006B3ADE">
      <w:pPr>
        <w:pStyle w:val="ListParagraph"/>
        <w:numPr>
          <w:ilvl w:val="0"/>
          <w:numId w:val="14"/>
        </w:numPr>
        <w:ind w:left="360"/>
        <w:jc w:val="both"/>
        <w:rPr>
          <w:sz w:val="20"/>
          <w:lang w:val="pl-PL"/>
        </w:rPr>
      </w:pPr>
      <w:r>
        <w:rPr>
          <w:rFonts w:eastAsia="Times New Roman"/>
          <w:b/>
          <w:bCs/>
          <w:sz w:val="20"/>
          <w:szCs w:val="20"/>
          <w:lang w:val="pl-PL"/>
        </w:rPr>
        <w:t>Zastrzeżenie</w:t>
      </w:r>
      <w:r>
        <w:rPr>
          <w:rFonts w:eastAsia="Times New Roman"/>
          <w:sz w:val="20"/>
          <w:szCs w:val="20"/>
          <w:lang w:val="pl-PL"/>
        </w:rPr>
        <w:t>.  Sponsor ani żadna z jego spółek nadrzędnych, podmiotów zależnych i stowarzyszonych, a także nikt z dyrektorów, członków kierownictwa wyższego szczebla, doradców zawodowych, przedstawicieli, pracowników i agentów (zwanych łącznie „</w:t>
      </w:r>
      <w:r>
        <w:rPr>
          <w:rFonts w:eastAsia="Times New Roman"/>
          <w:b/>
          <w:bCs/>
          <w:i/>
          <w:iCs/>
          <w:sz w:val="20"/>
          <w:szCs w:val="20"/>
          <w:lang w:val="pl-PL"/>
        </w:rPr>
        <w:t>Stronami zwolnionymi</w:t>
      </w:r>
      <w:r>
        <w:rPr>
          <w:rFonts w:eastAsia="Times New Roman"/>
          <w:sz w:val="20"/>
          <w:szCs w:val="20"/>
          <w:lang w:val="pl-PL"/>
        </w:rPr>
        <w:t xml:space="preserve">”) nie będą ponosić jakiejkolwiek odpowiedzialności za: (a) wszelkie opóźnione, zagubione, nieprawidłowo skierowane, przeinaczone, zniekształcone lub uszkodzone transmisje lub zamówienia zakupu; (b) awarie telefonów, sprzętu elektronicznego, oprogramowania, sieci, internetu ani za inne awarie dotyczące sprzętów lub łączności znajdujące się poza normalną kontrolą Sponsora lub Stron zwolnionych; (c) wszelkie zakłócenia w przebiegu Promocji, obrażenia ciała, straty lub szkody spowodowane przez zdarzenia, na które Sponsor normalnie nie ma wpływu, lub powstałe </w:t>
      </w:r>
      <w:r>
        <w:rPr>
          <w:rFonts w:eastAsia="Times New Roman"/>
          <w:sz w:val="20"/>
          <w:szCs w:val="20"/>
          <w:lang w:val="pl-PL"/>
        </w:rPr>
        <w:lastRenderedPageBreak/>
        <w:t>w wyniku ingerencji człowieka dokonanej bez zezwolenia; (d) wszelkie błędy drukarskie lub typograficzne w materiałach związanych z Promocją.</w:t>
      </w:r>
    </w:p>
    <w:p w14:paraId="31E9A979" w14:textId="77777777" w:rsidR="006B3ADE" w:rsidRPr="00731045" w:rsidRDefault="006B3ADE" w:rsidP="006B3ADE">
      <w:pPr>
        <w:pStyle w:val="BodyText"/>
        <w:spacing w:after="0"/>
        <w:ind w:left="270"/>
        <w:rPr>
          <w:rFonts w:ascii="Times New Roman" w:hAnsi="Times New Roman"/>
          <w:sz w:val="20"/>
          <w:szCs w:val="20"/>
          <w:lang w:val="pl-PL"/>
        </w:rPr>
      </w:pPr>
    </w:p>
    <w:p w14:paraId="6C174452" w14:textId="77777777" w:rsidR="006B3ADE" w:rsidRPr="00731045" w:rsidRDefault="006B3ADE" w:rsidP="006B3ADE">
      <w:pPr>
        <w:pStyle w:val="ListParagraph"/>
        <w:numPr>
          <w:ilvl w:val="0"/>
          <w:numId w:val="14"/>
        </w:numPr>
        <w:ind w:left="284" w:hanging="284"/>
        <w:jc w:val="both"/>
        <w:rPr>
          <w:sz w:val="20"/>
          <w:lang w:val="pl-PL"/>
        </w:rPr>
      </w:pPr>
      <w:r>
        <w:rPr>
          <w:rFonts w:eastAsia="Times New Roman"/>
          <w:b/>
          <w:bCs/>
          <w:sz w:val="20"/>
          <w:szCs w:val="20"/>
          <w:lang w:val="pl-PL"/>
        </w:rPr>
        <w:t>Zwolnienie z odpowiedzialności i zabezpieczenie przed odpowiedzialnością</w:t>
      </w:r>
      <w:r>
        <w:rPr>
          <w:rFonts w:eastAsia="Times New Roman"/>
          <w:sz w:val="20"/>
          <w:szCs w:val="20"/>
          <w:lang w:val="pl-PL"/>
        </w:rPr>
        <w:t xml:space="preserve">. O ile prawo nie stanowi inaczej, uczestnicząc w Promocji, zwalniasz z odpowiedzialności i zobowiązujesz się zabezpieczyć każdą ze Stron zwolnionych w odniesieniu do wszelkiej odpowiedzialności, zobowiązań, roszczeń, pozwów, działań prawnych, kosztów, wydatków, strat oraz szkód wszelkiego rodzaju, w tym z odpowiedzialności podatkowej oraz z tytułu utraty sposobności, niezależnie od tego, czy będą miały one charakter bezpośredni, pośredni, szczególny lub wtórny, które mogą zostać nałożone na Stronę zwolnioną, dochodzone od niej lub przez nią poniesione, a które wynikają z Promocji lub nagród w niej przewidzianych lub są w jakikolwiek sposób z nimi powiązane, w tym między innymi w przypadku, gdy są one spowodowane poniższymi czynnikami lub są z nimi związane: (a) wszelkie trudności techniczne lub awarie sprzętu (niezależnie od tego, czy Sponsor ma na nie wpływ); (b) wszelkie pomylone dostawy, kradzieże, nieuprawniony dostęp lub ingerencja osób trzecich; (c) wszelkie przystąpienia lub wnioski dotyczące skorzystania z Promocji, które zostały złożone po terminie, zagubione, zmienione, uszkodzone lub niewłaściwie skierowane (niezależnie od tego, czy nastąpiło to po otrzymaniu ich przez Sponsora, czy nie) na skutek wydarzeń, które są poza realną kontrolą Sponsora; (d) wszelkie szkody spowodowane działaniem usług pocztowych lun kurierskich; (e) wszelkie zobowiązania podatkowe uczestnika; (f) wszelkie wykorzystanie albo niewłaściwe wykorzystanie jakiegokolwiek produktu objętego rabatem lub prezentu przy zakupie (z wyjątkiem zakresu objętego stosowną gwarancją na produkt).  </w:t>
      </w:r>
    </w:p>
    <w:p w14:paraId="53A4F4ED" w14:textId="77777777" w:rsidR="006B3ADE" w:rsidRPr="00731045" w:rsidRDefault="006B3ADE" w:rsidP="006B3ADE">
      <w:pPr>
        <w:pStyle w:val="BodyText"/>
        <w:spacing w:after="0"/>
        <w:rPr>
          <w:rFonts w:ascii="Times New Roman" w:hAnsi="Times New Roman"/>
          <w:sz w:val="20"/>
          <w:lang w:val="pl-PL"/>
        </w:rPr>
      </w:pPr>
    </w:p>
    <w:p w14:paraId="7A54FABE" w14:textId="1BAE389C" w:rsidR="006B3ADE" w:rsidRPr="00731045" w:rsidRDefault="006B3ADE" w:rsidP="006B3ADE">
      <w:pPr>
        <w:pStyle w:val="ListParagraph"/>
        <w:numPr>
          <w:ilvl w:val="0"/>
          <w:numId w:val="14"/>
        </w:numPr>
        <w:ind w:left="284" w:hanging="284"/>
        <w:jc w:val="both"/>
        <w:rPr>
          <w:sz w:val="20"/>
          <w:lang w:val="pl-PL"/>
        </w:rPr>
      </w:pPr>
      <w:r>
        <w:rPr>
          <w:rFonts w:eastAsia="Times New Roman"/>
          <w:b/>
          <w:bCs/>
          <w:sz w:val="20"/>
          <w:szCs w:val="20"/>
          <w:lang w:val="pl-PL"/>
        </w:rPr>
        <w:t>Informacja dotycząca własności intelektualnej</w:t>
      </w:r>
      <w:r>
        <w:rPr>
          <w:rFonts w:eastAsia="Times New Roman"/>
          <w:sz w:val="20"/>
          <w:szCs w:val="20"/>
          <w:lang w:val="pl-PL"/>
        </w:rPr>
        <w:t>.  Promocja i wszystkie towarzyszące jej materiały, w tym niniejszy regulamin, są objęte prawami autorskimi © 202</w:t>
      </w:r>
      <w:r w:rsidR="008F5EAE">
        <w:rPr>
          <w:rFonts w:eastAsia="Times New Roman"/>
          <w:sz w:val="20"/>
          <w:szCs w:val="20"/>
          <w:lang w:val="pl-PL"/>
        </w:rPr>
        <w:t>5</w:t>
      </w:r>
      <w:r>
        <w:rPr>
          <w:rFonts w:eastAsia="Times New Roman"/>
          <w:sz w:val="20"/>
          <w:szCs w:val="20"/>
          <w:lang w:val="pl-PL"/>
        </w:rPr>
        <w:t xml:space="preserve"> firmy Fluke Europe B.V. Wszelkie prawa zastrzeżone.</w:t>
      </w:r>
    </w:p>
    <w:p w14:paraId="29243247" w14:textId="77777777" w:rsidR="006B3ADE" w:rsidRPr="00731045" w:rsidRDefault="006B3ADE" w:rsidP="006B3ADE">
      <w:pPr>
        <w:pStyle w:val="BodyText"/>
        <w:spacing w:after="0"/>
        <w:rPr>
          <w:rFonts w:ascii="Times New Roman" w:hAnsi="Times New Roman"/>
          <w:sz w:val="20"/>
          <w:lang w:val="pl-PL"/>
        </w:rPr>
      </w:pPr>
    </w:p>
    <w:p w14:paraId="6CA98CF5" w14:textId="335221F1" w:rsidR="006B3ADE" w:rsidRPr="00731045" w:rsidRDefault="006B3ADE" w:rsidP="006B3ADE">
      <w:pPr>
        <w:pStyle w:val="ListParagraph"/>
        <w:numPr>
          <w:ilvl w:val="0"/>
          <w:numId w:val="14"/>
        </w:numPr>
        <w:ind w:left="284" w:hanging="284"/>
        <w:jc w:val="both"/>
        <w:rPr>
          <w:sz w:val="20"/>
          <w:lang w:val="pl-PL"/>
        </w:rPr>
      </w:pPr>
      <w:r>
        <w:rPr>
          <w:rFonts w:eastAsia="Times New Roman"/>
          <w:b/>
          <w:bCs/>
          <w:sz w:val="20"/>
          <w:szCs w:val="20"/>
          <w:lang w:val="pl-PL"/>
        </w:rPr>
        <w:t>Postanowienia różne</w:t>
      </w:r>
      <w:r>
        <w:rPr>
          <w:rFonts w:eastAsia="Times New Roman"/>
          <w:sz w:val="20"/>
          <w:szCs w:val="20"/>
          <w:lang w:val="pl-PL"/>
        </w:rPr>
        <w:t xml:space="preserve">.  Promocja i niniejszy regulamin będą regulowane, rozumiane i interpretowane zgodnie z prawem państwa prowadzenia działalności przez Sponsora, bez stosowania na mocy tego prawa jakichkolwiek klauzul kolizyjnych lub wyboru prawa właściwego, które mogłyby odnosić interpretację lub dowolną jej część do prawa jakiejkolwiek innej jurysdykcji.  Klienci uczestniczący w tej Promocji są związani niniejszym regulaminem oraz decyzjami Sponsora, które są ostateczne i wiążące pod każdym względem. Niniejszy regulamin stanowi całość umowy regulującej Promocję i jest wiążący dla klienta, a żadna inna umowa, w formie ustnej bądź innej, nie jest wiążąca w odniesieniu do Promocji, o ile nie zostanie sporządzona na piśmie i podpisana przez Sponsora. W przypadku jakiegokolwiek konfliktu lub niezgodności pomiędzy dowolnymi innymi dokumentami związanymi z Promocją a niniejszym regulaminem pierwszeństwo ma niniejszy regulamin. W maksymalnym zakresie przewidzianym przez prawo odstąpienie od któregokolwiek z postanowień niniejszego regulaminu nie będzie mogło być dorozumiane na podstawie przebiegu kontaktów pomiędzy klientem a Sponsorem ani też z powodu nieskorzystania przez klienta lub Sponsora ze swoich praw wynikających z niniejszego regulaminu w jakichkolwiek okolicznościach. W najpełniejszym zakresie dozwolonym przez obowiązujące prawo Sponsor zastrzega sobie prawo do zmiany niniejszego regulaminu w dowolnym czasie, według własnego uznania, oraz do zawieszenia lub odwołania Promocji lub udziału dowolnej osoby w Promocji, jeżeli wirusy komputerowe, ingerencja człowieka dokonana bez zezwolenia lub inne przyczyny normalnie niezależne od Sponsora wpłyną na bezpieczeństwo Promocji, zarządzanie nią lub jej prowadzenie albo Sponsor w inny sposób stanie się (według własnego uznania) niezdolny do przeprowadzenia Promocji zgodnie z planem, a także z dowolnego innego powodu, który Sponsor uzna za stosowny według własnego uznania.  Uczestnicy, którzy naruszą niniejszy regulamin, naruszą jakiekolwiek prawo, zasady lub przepisy w związku z uczestnictwem w Promocji, będą manipulować przebiegiem Promocji lub działaniami dowolnego jej kontrolera lub dopuszczą się jakiegokolwiek postępowania, które jest szkodliwe lub nieuczciwe dla Sponsora, Promocji lub dowolnego innego uczestnika (w każdym przypadku według uznania Sponsora), zostaną wykluczeni z udziału w Promocji.  W razie jakichkolwiek pytań dotyczących niniejszego regulaminu lub Promocji prosimy o wysłanie wiadomości e-mail na adres </w:t>
      </w:r>
      <w:hyperlink r:id="rId22" w:history="1">
        <w:r w:rsidRPr="00A05288">
          <w:rPr>
            <w:rStyle w:val="Hyperlink"/>
            <w:rFonts w:eastAsia="Times New Roman"/>
            <w:sz w:val="20"/>
            <w:szCs w:val="20"/>
            <w:lang w:val="pl-PL"/>
          </w:rPr>
          <w:t>ehv-marcom@fluke.nl</w:t>
        </w:r>
      </w:hyperlink>
      <w:r>
        <w:rPr>
          <w:rFonts w:eastAsia="Times New Roman"/>
          <w:sz w:val="20"/>
          <w:szCs w:val="20"/>
          <w:lang w:val="pl-PL"/>
        </w:rPr>
        <w:t xml:space="preserve"> lub wysłanie pytań na piśmie na następujący adres: Fluke Europe B.V., BIC 1, 5657 BX, Eindhoven, Holandia.</w:t>
      </w:r>
    </w:p>
    <w:p w14:paraId="3F917190" w14:textId="77777777" w:rsidR="006B3ADE" w:rsidRPr="00731045" w:rsidRDefault="006B3ADE" w:rsidP="006B3ADE">
      <w:pPr>
        <w:pStyle w:val="ListParagraph"/>
        <w:ind w:left="284"/>
        <w:jc w:val="both"/>
        <w:rPr>
          <w:sz w:val="20"/>
          <w:lang w:val="pl-PL"/>
        </w:rPr>
      </w:pPr>
    </w:p>
    <w:p w14:paraId="478990B6" w14:textId="433479EC" w:rsidR="00A111D1" w:rsidRPr="00F86623" w:rsidRDefault="006B3ADE" w:rsidP="00A111D1">
      <w:pPr>
        <w:pStyle w:val="ListParagraph"/>
        <w:numPr>
          <w:ilvl w:val="0"/>
          <w:numId w:val="14"/>
        </w:numPr>
        <w:ind w:left="284" w:hanging="284"/>
        <w:jc w:val="both"/>
        <w:rPr>
          <w:sz w:val="20"/>
          <w:lang w:val="pl-PL"/>
        </w:rPr>
      </w:pPr>
      <w:r w:rsidRPr="00F86623">
        <w:rPr>
          <w:rFonts w:eastAsia="Times New Roman"/>
          <w:sz w:val="20"/>
          <w:szCs w:val="20"/>
          <w:lang w:val="pl-PL"/>
        </w:rPr>
        <w:t xml:space="preserve">Korzystanie przez Sponsora z danych osobowych klienta przekazanych Sponsorowi podlega postanowieniom Polityki prywatności Sponsora (dostępnej pod adresem </w:t>
      </w:r>
      <w:hyperlink r:id="rId23" w:history="1">
        <w:r w:rsidRPr="00F86623">
          <w:rPr>
            <w:rFonts w:eastAsia="Times New Roman"/>
            <w:color w:val="0000FF"/>
            <w:sz w:val="20"/>
            <w:szCs w:val="20"/>
            <w:u w:val="single"/>
            <w:lang w:val="pl-PL"/>
          </w:rPr>
          <w:t>http://en-us.fluke.com/site/privacy</w:t>
        </w:r>
      </w:hyperlink>
      <w:r w:rsidRPr="00F86623">
        <w:rPr>
          <w:rFonts w:eastAsia="Times New Roman"/>
          <w:sz w:val="20"/>
          <w:szCs w:val="20"/>
          <w:lang w:val="pl-PL"/>
        </w:rPr>
        <w:t xml:space="preserve">). W przypadku jakichkolwiek pytań dotyczących niniejszego regulaminu lub Promocji prosimy o przesłanie ich na adres </w:t>
      </w:r>
      <w:hyperlink r:id="rId24" w:history="1">
        <w:r w:rsidRPr="00F86623">
          <w:rPr>
            <w:rFonts w:eastAsia="Times New Roman"/>
            <w:color w:val="0000FF"/>
            <w:sz w:val="20"/>
            <w:szCs w:val="20"/>
            <w:u w:val="single"/>
            <w:lang w:val="pl-PL"/>
          </w:rPr>
          <w:t>privacypolicy@fluke.com</w:t>
        </w:r>
      </w:hyperlink>
      <w:r w:rsidRPr="00F86623">
        <w:rPr>
          <w:rFonts w:eastAsia="Times New Roman"/>
          <w:sz w:val="20"/>
          <w:szCs w:val="20"/>
          <w:lang w:val="pl-PL"/>
        </w:rPr>
        <w:t xml:space="preserve"> lub wysłanie pytań na piśmie na adres podany powyżej.</w:t>
      </w:r>
    </w:p>
    <w:p w14:paraId="54AABE90" w14:textId="77777777" w:rsidR="00A111D1" w:rsidRPr="006B3ADE" w:rsidRDefault="00A111D1" w:rsidP="006D63B1">
      <w:pPr>
        <w:pStyle w:val="BodyText"/>
        <w:spacing w:after="0"/>
        <w:ind w:left="284"/>
        <w:rPr>
          <w:rFonts w:ascii="Times New Roman" w:hAnsi="Times New Roman"/>
          <w:sz w:val="20"/>
          <w:szCs w:val="20"/>
          <w:lang w:val="pl-PL"/>
        </w:rPr>
      </w:pPr>
    </w:p>
    <w:sectPr w:rsidR="00A111D1" w:rsidRPr="006B3ADE"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3C2B" w14:textId="77777777" w:rsidR="00A111D1" w:rsidRDefault="00A111D1">
      <w:r>
        <w:separator/>
      </w:r>
    </w:p>
  </w:endnote>
  <w:endnote w:type="continuationSeparator" w:id="0">
    <w:p w14:paraId="4191A005" w14:textId="77777777" w:rsidR="00A111D1" w:rsidRDefault="00A1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A111D1">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A111D1">
    <w:pPr>
      <w:pStyle w:val="Footer"/>
      <w:spacing w:line="200" w:lineRule="exact"/>
      <w:rPr>
        <w:rFonts w:ascii="Calibri" w:hAnsi="Calibri"/>
        <w:sz w:val="22"/>
        <w:szCs w:val="22"/>
      </w:rPr>
    </w:pPr>
    <w:r>
      <w:rPr>
        <w:rStyle w:val="zzmpTrailerItem"/>
        <w:rFonts w:eastAsia="Times New Roman"/>
        <w:lang w:val="pl-PL"/>
      </w:rPr>
      <w:t>132581448.4</w:t>
    </w:r>
    <w:r>
      <w:rPr>
        <w:rStyle w:val="zzmpTrailerItem"/>
        <w:rFonts w:eastAsia="Times New Roman"/>
        <w:sz w:val="24"/>
        <w:szCs w:val="24"/>
        <w:lang w:val="pl-P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A111D1">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A111D1">
    <w:pPr>
      <w:pStyle w:val="Footer"/>
      <w:spacing w:line="200" w:lineRule="exact"/>
      <w:rPr>
        <w:rFonts w:ascii="Calibri" w:hAnsi="Calibri"/>
        <w:noProof/>
        <w:sz w:val="22"/>
        <w:szCs w:val="22"/>
      </w:rPr>
    </w:pPr>
    <w:r>
      <w:rPr>
        <w:rStyle w:val="zzmpTrailerItem"/>
        <w:rFonts w:eastAsia="Times New Roman"/>
        <w:lang w:val="pl-PL"/>
      </w:rPr>
      <w:t>132581448.4</w:t>
    </w:r>
    <w:r>
      <w:rPr>
        <w:rStyle w:val="zzmpTrailerItem"/>
        <w:rFonts w:eastAsia="Times New Roman"/>
        <w:sz w:val="24"/>
        <w:szCs w:val="24"/>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30F8" w14:textId="77777777" w:rsidR="00A111D1" w:rsidRDefault="00A111D1">
      <w:r>
        <w:separator/>
      </w:r>
    </w:p>
  </w:footnote>
  <w:footnote w:type="continuationSeparator" w:id="0">
    <w:p w14:paraId="23FD6985" w14:textId="77777777" w:rsidR="00A111D1" w:rsidRDefault="00A11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79D680D4">
      <w:start w:val="1"/>
      <w:numFmt w:val="bullet"/>
      <w:lvlText w:val=""/>
      <w:lvlJc w:val="left"/>
      <w:pPr>
        <w:ind w:left="1350" w:hanging="360"/>
      </w:pPr>
      <w:rPr>
        <w:rFonts w:ascii="Symbol" w:hAnsi="Symbol" w:hint="default"/>
      </w:rPr>
    </w:lvl>
    <w:lvl w:ilvl="1" w:tplc="A63CE436">
      <w:start w:val="1"/>
      <w:numFmt w:val="bullet"/>
      <w:lvlText w:val="o"/>
      <w:lvlJc w:val="left"/>
      <w:pPr>
        <w:ind w:left="2070" w:hanging="360"/>
      </w:pPr>
      <w:rPr>
        <w:rFonts w:ascii="Courier New" w:hAnsi="Courier New" w:cs="Courier New" w:hint="default"/>
      </w:rPr>
    </w:lvl>
    <w:lvl w:ilvl="2" w:tplc="95684024">
      <w:start w:val="1"/>
      <w:numFmt w:val="bullet"/>
      <w:lvlText w:val=""/>
      <w:lvlJc w:val="left"/>
      <w:pPr>
        <w:ind w:left="2790" w:hanging="360"/>
      </w:pPr>
      <w:rPr>
        <w:rFonts w:ascii="Wingdings" w:hAnsi="Wingdings" w:hint="default"/>
      </w:rPr>
    </w:lvl>
    <w:lvl w:ilvl="3" w:tplc="1A9C429A">
      <w:start w:val="1"/>
      <w:numFmt w:val="bullet"/>
      <w:lvlText w:val=""/>
      <w:lvlJc w:val="left"/>
      <w:pPr>
        <w:ind w:left="3510" w:hanging="360"/>
      </w:pPr>
      <w:rPr>
        <w:rFonts w:ascii="Symbol" w:hAnsi="Symbol" w:hint="default"/>
      </w:rPr>
    </w:lvl>
    <w:lvl w:ilvl="4" w:tplc="96F838BA">
      <w:start w:val="1"/>
      <w:numFmt w:val="bullet"/>
      <w:lvlText w:val="o"/>
      <w:lvlJc w:val="left"/>
      <w:pPr>
        <w:ind w:left="4230" w:hanging="360"/>
      </w:pPr>
      <w:rPr>
        <w:rFonts w:ascii="Courier New" w:hAnsi="Courier New" w:cs="Courier New" w:hint="default"/>
      </w:rPr>
    </w:lvl>
    <w:lvl w:ilvl="5" w:tplc="A634C2A0">
      <w:start w:val="1"/>
      <w:numFmt w:val="bullet"/>
      <w:lvlText w:val=""/>
      <w:lvlJc w:val="left"/>
      <w:pPr>
        <w:ind w:left="4950" w:hanging="360"/>
      </w:pPr>
      <w:rPr>
        <w:rFonts w:ascii="Wingdings" w:hAnsi="Wingdings" w:hint="default"/>
      </w:rPr>
    </w:lvl>
    <w:lvl w:ilvl="6" w:tplc="109A4852">
      <w:start w:val="1"/>
      <w:numFmt w:val="bullet"/>
      <w:lvlText w:val=""/>
      <w:lvlJc w:val="left"/>
      <w:pPr>
        <w:ind w:left="5670" w:hanging="360"/>
      </w:pPr>
      <w:rPr>
        <w:rFonts w:ascii="Symbol" w:hAnsi="Symbol" w:hint="default"/>
      </w:rPr>
    </w:lvl>
    <w:lvl w:ilvl="7" w:tplc="CE924716">
      <w:start w:val="1"/>
      <w:numFmt w:val="bullet"/>
      <w:lvlText w:val="o"/>
      <w:lvlJc w:val="left"/>
      <w:pPr>
        <w:ind w:left="6390" w:hanging="360"/>
      </w:pPr>
      <w:rPr>
        <w:rFonts w:ascii="Courier New" w:hAnsi="Courier New" w:cs="Courier New" w:hint="default"/>
      </w:rPr>
    </w:lvl>
    <w:lvl w:ilvl="8" w:tplc="65002F4A">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19F2D1D6">
      <w:start w:val="1"/>
      <w:numFmt w:val="decimal"/>
      <w:lvlText w:val="%1."/>
      <w:lvlJc w:val="left"/>
      <w:pPr>
        <w:ind w:left="630" w:hanging="360"/>
      </w:pPr>
    </w:lvl>
    <w:lvl w:ilvl="1" w:tplc="9E3A8146">
      <w:start w:val="1"/>
      <w:numFmt w:val="lowerLetter"/>
      <w:lvlText w:val="%2."/>
      <w:lvlJc w:val="left"/>
      <w:pPr>
        <w:ind w:left="1350" w:hanging="360"/>
      </w:pPr>
    </w:lvl>
    <w:lvl w:ilvl="2" w:tplc="02D40222">
      <w:start w:val="1"/>
      <w:numFmt w:val="lowerRoman"/>
      <w:lvlText w:val="%3."/>
      <w:lvlJc w:val="right"/>
      <w:pPr>
        <w:ind w:left="2070" w:hanging="180"/>
      </w:pPr>
    </w:lvl>
    <w:lvl w:ilvl="3" w:tplc="20EA1346">
      <w:start w:val="1"/>
      <w:numFmt w:val="decimal"/>
      <w:lvlText w:val="%4."/>
      <w:lvlJc w:val="left"/>
      <w:pPr>
        <w:ind w:left="2790" w:hanging="360"/>
      </w:pPr>
    </w:lvl>
    <w:lvl w:ilvl="4" w:tplc="ECD654F6">
      <w:start w:val="1"/>
      <w:numFmt w:val="lowerLetter"/>
      <w:lvlText w:val="%5."/>
      <w:lvlJc w:val="left"/>
      <w:pPr>
        <w:ind w:left="3510" w:hanging="360"/>
      </w:pPr>
    </w:lvl>
    <w:lvl w:ilvl="5" w:tplc="ECFE61B0">
      <w:start w:val="1"/>
      <w:numFmt w:val="lowerRoman"/>
      <w:lvlText w:val="%6."/>
      <w:lvlJc w:val="right"/>
      <w:pPr>
        <w:ind w:left="4230" w:hanging="180"/>
      </w:pPr>
    </w:lvl>
    <w:lvl w:ilvl="6" w:tplc="32C6676C">
      <w:start w:val="1"/>
      <w:numFmt w:val="decimal"/>
      <w:lvlText w:val="%7."/>
      <w:lvlJc w:val="left"/>
      <w:pPr>
        <w:ind w:left="4950" w:hanging="360"/>
      </w:pPr>
    </w:lvl>
    <w:lvl w:ilvl="7" w:tplc="2D30E382">
      <w:start w:val="1"/>
      <w:numFmt w:val="lowerLetter"/>
      <w:lvlText w:val="%8."/>
      <w:lvlJc w:val="left"/>
      <w:pPr>
        <w:ind w:left="5670" w:hanging="360"/>
      </w:pPr>
    </w:lvl>
    <w:lvl w:ilvl="8" w:tplc="7E641E8A">
      <w:start w:val="1"/>
      <w:numFmt w:val="lowerRoman"/>
      <w:lvlText w:val="%9."/>
      <w:lvlJc w:val="right"/>
      <w:pPr>
        <w:ind w:left="6390" w:hanging="180"/>
      </w:pPr>
    </w:lvl>
  </w:abstractNum>
  <w:abstractNum w:abstractNumId="2" w15:restartNumberingAfterBreak="0">
    <w:nsid w:val="2E16302E"/>
    <w:multiLevelType w:val="hybridMultilevel"/>
    <w:tmpl w:val="199AAE14"/>
    <w:lvl w:ilvl="0" w:tplc="31E8E3DC">
      <w:start w:val="1"/>
      <w:numFmt w:val="bullet"/>
      <w:lvlText w:val=""/>
      <w:lvlJc w:val="left"/>
      <w:pPr>
        <w:ind w:left="1440" w:hanging="360"/>
      </w:pPr>
      <w:rPr>
        <w:rFonts w:ascii="Symbol" w:hAnsi="Symbol" w:hint="default"/>
      </w:rPr>
    </w:lvl>
    <w:lvl w:ilvl="1" w:tplc="1B723322" w:tentative="1">
      <w:start w:val="1"/>
      <w:numFmt w:val="bullet"/>
      <w:lvlText w:val="o"/>
      <w:lvlJc w:val="left"/>
      <w:pPr>
        <w:ind w:left="2160" w:hanging="360"/>
      </w:pPr>
      <w:rPr>
        <w:rFonts w:ascii="Courier New" w:hAnsi="Courier New" w:cs="Courier New" w:hint="default"/>
      </w:rPr>
    </w:lvl>
    <w:lvl w:ilvl="2" w:tplc="2F6456F4" w:tentative="1">
      <w:start w:val="1"/>
      <w:numFmt w:val="bullet"/>
      <w:lvlText w:val=""/>
      <w:lvlJc w:val="left"/>
      <w:pPr>
        <w:ind w:left="2880" w:hanging="360"/>
      </w:pPr>
      <w:rPr>
        <w:rFonts w:ascii="Wingdings" w:hAnsi="Wingdings" w:hint="default"/>
      </w:rPr>
    </w:lvl>
    <w:lvl w:ilvl="3" w:tplc="26282570" w:tentative="1">
      <w:start w:val="1"/>
      <w:numFmt w:val="bullet"/>
      <w:lvlText w:val=""/>
      <w:lvlJc w:val="left"/>
      <w:pPr>
        <w:ind w:left="3600" w:hanging="360"/>
      </w:pPr>
      <w:rPr>
        <w:rFonts w:ascii="Symbol" w:hAnsi="Symbol" w:hint="default"/>
      </w:rPr>
    </w:lvl>
    <w:lvl w:ilvl="4" w:tplc="8C647A9E" w:tentative="1">
      <w:start w:val="1"/>
      <w:numFmt w:val="bullet"/>
      <w:lvlText w:val="o"/>
      <w:lvlJc w:val="left"/>
      <w:pPr>
        <w:ind w:left="4320" w:hanging="360"/>
      </w:pPr>
      <w:rPr>
        <w:rFonts w:ascii="Courier New" w:hAnsi="Courier New" w:cs="Courier New" w:hint="default"/>
      </w:rPr>
    </w:lvl>
    <w:lvl w:ilvl="5" w:tplc="6A108544" w:tentative="1">
      <w:start w:val="1"/>
      <w:numFmt w:val="bullet"/>
      <w:lvlText w:val=""/>
      <w:lvlJc w:val="left"/>
      <w:pPr>
        <w:ind w:left="5040" w:hanging="360"/>
      </w:pPr>
      <w:rPr>
        <w:rFonts w:ascii="Wingdings" w:hAnsi="Wingdings" w:hint="default"/>
      </w:rPr>
    </w:lvl>
    <w:lvl w:ilvl="6" w:tplc="FE1AB51E" w:tentative="1">
      <w:start w:val="1"/>
      <w:numFmt w:val="bullet"/>
      <w:lvlText w:val=""/>
      <w:lvlJc w:val="left"/>
      <w:pPr>
        <w:ind w:left="5760" w:hanging="360"/>
      </w:pPr>
      <w:rPr>
        <w:rFonts w:ascii="Symbol" w:hAnsi="Symbol" w:hint="default"/>
      </w:rPr>
    </w:lvl>
    <w:lvl w:ilvl="7" w:tplc="CA887EF6" w:tentative="1">
      <w:start w:val="1"/>
      <w:numFmt w:val="bullet"/>
      <w:lvlText w:val="o"/>
      <w:lvlJc w:val="left"/>
      <w:pPr>
        <w:ind w:left="6480" w:hanging="360"/>
      </w:pPr>
      <w:rPr>
        <w:rFonts w:ascii="Courier New" w:hAnsi="Courier New" w:cs="Courier New" w:hint="default"/>
      </w:rPr>
    </w:lvl>
    <w:lvl w:ilvl="8" w:tplc="1A048184"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DE1C8854">
      <w:start w:val="3"/>
      <w:numFmt w:val="decimal"/>
      <w:lvlText w:val="%1)"/>
      <w:lvlJc w:val="left"/>
      <w:pPr>
        <w:ind w:left="720" w:hanging="360"/>
      </w:pPr>
      <w:rPr>
        <w:rFonts w:hint="default"/>
        <w:b/>
      </w:rPr>
    </w:lvl>
    <w:lvl w:ilvl="1" w:tplc="8C787068">
      <w:start w:val="1"/>
      <w:numFmt w:val="lowerLetter"/>
      <w:lvlText w:val="%2."/>
      <w:lvlJc w:val="left"/>
      <w:pPr>
        <w:ind w:left="1440" w:hanging="360"/>
      </w:pPr>
    </w:lvl>
    <w:lvl w:ilvl="2" w:tplc="A7FC07FC" w:tentative="1">
      <w:start w:val="1"/>
      <w:numFmt w:val="lowerRoman"/>
      <w:lvlText w:val="%3."/>
      <w:lvlJc w:val="right"/>
      <w:pPr>
        <w:ind w:left="2160" w:hanging="180"/>
      </w:pPr>
    </w:lvl>
    <w:lvl w:ilvl="3" w:tplc="C882C716" w:tentative="1">
      <w:start w:val="1"/>
      <w:numFmt w:val="decimal"/>
      <w:lvlText w:val="%4."/>
      <w:lvlJc w:val="left"/>
      <w:pPr>
        <w:ind w:left="2880" w:hanging="360"/>
      </w:pPr>
    </w:lvl>
    <w:lvl w:ilvl="4" w:tplc="4B8EDA34" w:tentative="1">
      <w:start w:val="1"/>
      <w:numFmt w:val="lowerLetter"/>
      <w:lvlText w:val="%5."/>
      <w:lvlJc w:val="left"/>
      <w:pPr>
        <w:ind w:left="3600" w:hanging="360"/>
      </w:pPr>
    </w:lvl>
    <w:lvl w:ilvl="5" w:tplc="A70865E0" w:tentative="1">
      <w:start w:val="1"/>
      <w:numFmt w:val="lowerRoman"/>
      <w:lvlText w:val="%6."/>
      <w:lvlJc w:val="right"/>
      <w:pPr>
        <w:ind w:left="4320" w:hanging="180"/>
      </w:pPr>
    </w:lvl>
    <w:lvl w:ilvl="6" w:tplc="A3AA550C" w:tentative="1">
      <w:start w:val="1"/>
      <w:numFmt w:val="decimal"/>
      <w:lvlText w:val="%7."/>
      <w:lvlJc w:val="left"/>
      <w:pPr>
        <w:ind w:left="5040" w:hanging="360"/>
      </w:pPr>
    </w:lvl>
    <w:lvl w:ilvl="7" w:tplc="2CE0FECC" w:tentative="1">
      <w:start w:val="1"/>
      <w:numFmt w:val="lowerLetter"/>
      <w:lvlText w:val="%8."/>
      <w:lvlJc w:val="left"/>
      <w:pPr>
        <w:ind w:left="5760" w:hanging="360"/>
      </w:pPr>
    </w:lvl>
    <w:lvl w:ilvl="8" w:tplc="A5C02432"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9669D"/>
    <w:rsid w:val="005A3611"/>
    <w:rsid w:val="005A5235"/>
    <w:rsid w:val="005B7610"/>
    <w:rsid w:val="005B7C8C"/>
    <w:rsid w:val="005C0D6B"/>
    <w:rsid w:val="005D146E"/>
    <w:rsid w:val="005E1CF9"/>
    <w:rsid w:val="005E20D7"/>
    <w:rsid w:val="005F1CE0"/>
    <w:rsid w:val="006045CF"/>
    <w:rsid w:val="00633E68"/>
    <w:rsid w:val="0063605A"/>
    <w:rsid w:val="00641B11"/>
    <w:rsid w:val="00664E5D"/>
    <w:rsid w:val="0069741B"/>
    <w:rsid w:val="006B3ADE"/>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417DE"/>
    <w:rsid w:val="008506A1"/>
    <w:rsid w:val="0086258B"/>
    <w:rsid w:val="00881420"/>
    <w:rsid w:val="008941D4"/>
    <w:rsid w:val="008C2765"/>
    <w:rsid w:val="008C4547"/>
    <w:rsid w:val="008F2971"/>
    <w:rsid w:val="008F2A3A"/>
    <w:rsid w:val="008F2A9E"/>
    <w:rsid w:val="008F5EA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1D1"/>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86623"/>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pl/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pl/freegift" TargetMode="External"/><Relationship Id="rId7" Type="http://schemas.openxmlformats.org/officeDocument/2006/relationships/styles" Target="styles.xml"/><Relationship Id="rId12" Type="http://schemas.openxmlformats.org/officeDocument/2006/relationships/hyperlink" Target="http://www.fluke.pl/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pl-pl/gdzie-kupic"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pl-pl/gdzie-kupic"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Props1.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3.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5.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2025-01-23T14:08:00Z</dcterms:created>
  <dcterms:modified xsi:type="dcterms:W3CDTF">2025-01-29T14:10:00Z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