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2F8" w14:textId="28A7C97F" w:rsidR="00227B20" w:rsidRDefault="00EB538B" w:rsidP="00F5105E">
      <w:pPr>
        <w:pStyle w:val="TITLECAPS"/>
        <w:spacing w:after="0"/>
        <w:jc w:val="both"/>
        <w:rPr>
          <w:rFonts w:ascii="Times New Roman" w:hAnsi="Times New Roman"/>
          <w:sz w:val="20"/>
          <w:szCs w:val="20"/>
        </w:rPr>
      </w:pPr>
      <w:r>
        <w:rPr>
          <w:rFonts w:ascii="Times New Roman" w:eastAsia="Times New Roman" w:hAnsi="Times New Roman"/>
          <w:bCs/>
          <w:color w:val="44546A"/>
          <w:sz w:val="20"/>
          <w:szCs w:val="20"/>
          <w:lang w:val="pt-PT"/>
        </w:rPr>
        <w:t>Compre um produto Fluke, receba um produto grátis 2024</w:t>
      </w:r>
    </w:p>
    <w:p w14:paraId="3619DD04" w14:textId="77777777" w:rsidR="00495496" w:rsidRPr="006E3C14" w:rsidRDefault="00495496" w:rsidP="00F23A2D">
      <w:pPr>
        <w:pStyle w:val="BodyText"/>
        <w:ind w:left="0"/>
        <w:rPr>
          <w:rFonts w:ascii="Times New Roman" w:hAnsi="Times New Roman"/>
          <w:sz w:val="20"/>
        </w:rPr>
      </w:pPr>
    </w:p>
    <w:p w14:paraId="1D151DE0" w14:textId="77777777" w:rsidR="00F23A2D" w:rsidRPr="006E3C14" w:rsidRDefault="00EB538B" w:rsidP="006E3C14">
      <w:pPr>
        <w:pStyle w:val="BodyText"/>
        <w:ind w:left="0"/>
        <w:rPr>
          <w:rFonts w:ascii="Times New Roman" w:hAnsi="Times New Roman"/>
          <w:b/>
          <w:color w:val="44546A" w:themeColor="text2"/>
          <w:sz w:val="20"/>
          <w:szCs w:val="20"/>
        </w:rPr>
      </w:pPr>
      <w:r>
        <w:rPr>
          <w:rFonts w:ascii="Times New Roman" w:eastAsia="Times New Roman" w:hAnsi="Times New Roman"/>
          <w:b/>
          <w:bCs/>
          <w:color w:val="44546A"/>
          <w:sz w:val="20"/>
          <w:szCs w:val="20"/>
          <w:lang w:val="pt-PT"/>
        </w:rPr>
        <w:t>Resumo dos termos e condições</w:t>
      </w:r>
    </w:p>
    <w:p w14:paraId="6B5B2FF9" w14:textId="22C04BB5" w:rsidR="00F23A2D" w:rsidRPr="00E17D5D" w:rsidRDefault="00EB538B" w:rsidP="006E3C14">
      <w:pPr>
        <w:pStyle w:val="BodyText"/>
        <w:spacing w:after="0"/>
        <w:ind w:left="0"/>
        <w:jc w:val="both"/>
        <w:rPr>
          <w:rFonts w:ascii="Times New Roman" w:hAnsi="Times New Roman"/>
          <w:sz w:val="20"/>
        </w:rPr>
      </w:pPr>
      <w:r>
        <w:rPr>
          <w:rFonts w:ascii="Times New Roman" w:eastAsia="Times New Roman" w:hAnsi="Times New Roman"/>
          <w:sz w:val="20"/>
          <w:szCs w:val="20"/>
          <w:lang w:val="pt-PT"/>
        </w:rPr>
        <w:t xml:space="preserve">Obtenha uma ferramenta Fluke ao efetuar uma compra de, pelo </w:t>
      </w:r>
      <w:r w:rsidRPr="00E17D5D">
        <w:rPr>
          <w:rFonts w:ascii="Times New Roman" w:eastAsia="Times New Roman" w:hAnsi="Times New Roman"/>
          <w:sz w:val="20"/>
          <w:szCs w:val="20"/>
          <w:lang w:val="pt-PT"/>
        </w:rPr>
        <w:t xml:space="preserve">menos, </w:t>
      </w:r>
      <w:r w:rsidRPr="003F541B">
        <w:rPr>
          <w:rFonts w:ascii="Times New Roman" w:eastAsia="Times New Roman" w:hAnsi="Times New Roman"/>
          <w:b/>
          <w:bCs/>
          <w:sz w:val="20"/>
          <w:szCs w:val="20"/>
          <w:lang w:val="pt-PT"/>
        </w:rPr>
        <w:t>150 €.</w:t>
      </w:r>
      <w:r w:rsidRPr="00E17D5D">
        <w:rPr>
          <w:rFonts w:ascii="Times New Roman" w:eastAsia="Times New Roman" w:hAnsi="Times New Roman"/>
          <w:sz w:val="20"/>
          <w:szCs w:val="20"/>
          <w:lang w:val="pt-PT"/>
        </w:rPr>
        <w:t>*</w:t>
      </w:r>
    </w:p>
    <w:p w14:paraId="1ECC5C6C" w14:textId="4625171A" w:rsidR="00F23A2D" w:rsidRPr="00E17D5D" w:rsidRDefault="00EB538B" w:rsidP="006E3C14">
      <w:pPr>
        <w:pStyle w:val="BodyText"/>
        <w:spacing w:after="0"/>
        <w:ind w:left="0"/>
        <w:jc w:val="both"/>
        <w:rPr>
          <w:rFonts w:ascii="Times New Roman" w:hAnsi="Times New Roman"/>
          <w:sz w:val="20"/>
        </w:rPr>
      </w:pPr>
      <w:r w:rsidRPr="00E17D5D">
        <w:rPr>
          <w:rFonts w:ascii="Times New Roman" w:eastAsia="Times New Roman" w:hAnsi="Times New Roman"/>
          <w:sz w:val="20"/>
          <w:szCs w:val="20"/>
          <w:lang w:val="pt-PT"/>
        </w:rPr>
        <w:t>Como receber a sua ferramenta da Fluke:</w:t>
      </w:r>
    </w:p>
    <w:p w14:paraId="21025289" w14:textId="0061EBB0" w:rsidR="00F23A2D" w:rsidRPr="003F541B" w:rsidRDefault="00EB538B" w:rsidP="006E3C14">
      <w:pPr>
        <w:pStyle w:val="BodyText"/>
        <w:numPr>
          <w:ilvl w:val="0"/>
          <w:numId w:val="10"/>
        </w:numPr>
        <w:spacing w:after="0"/>
        <w:ind w:left="426" w:hanging="426"/>
        <w:jc w:val="both"/>
        <w:rPr>
          <w:rFonts w:ascii="Times New Roman" w:hAnsi="Times New Roman"/>
          <w:b/>
          <w:bCs/>
          <w:sz w:val="20"/>
        </w:rPr>
      </w:pPr>
      <w:r w:rsidRPr="00E17D5D">
        <w:rPr>
          <w:rFonts w:ascii="Times New Roman" w:eastAsia="Times New Roman" w:hAnsi="Times New Roman"/>
          <w:sz w:val="20"/>
          <w:szCs w:val="20"/>
          <w:lang w:val="pt-PT"/>
        </w:rPr>
        <w:t xml:space="preserve">Gaste, pelo menos, 150 € (sem IVA) ou mais em qualquer produto Fluke elegível entre </w:t>
      </w:r>
      <w:r w:rsidRPr="003F541B">
        <w:rPr>
          <w:rFonts w:ascii="Times New Roman" w:eastAsia="Times New Roman" w:hAnsi="Times New Roman"/>
          <w:b/>
          <w:bCs/>
          <w:sz w:val="20"/>
          <w:szCs w:val="20"/>
          <w:lang w:val="pt-PT"/>
        </w:rPr>
        <w:t xml:space="preserve">1 de março de 2024 e 31 de agosto de 2024. </w:t>
      </w:r>
    </w:p>
    <w:p w14:paraId="71250731" w14:textId="786E2516" w:rsidR="00F23A2D" w:rsidRPr="006E3C14" w:rsidRDefault="00EB538B" w:rsidP="006E3C14">
      <w:pPr>
        <w:pStyle w:val="BodyText"/>
        <w:numPr>
          <w:ilvl w:val="0"/>
          <w:numId w:val="11"/>
        </w:numPr>
        <w:spacing w:after="0"/>
        <w:ind w:left="709"/>
        <w:jc w:val="both"/>
        <w:rPr>
          <w:rFonts w:ascii="Times New Roman" w:hAnsi="Times New Roman"/>
          <w:sz w:val="20"/>
        </w:rPr>
      </w:pPr>
      <w:r>
        <w:rPr>
          <w:rFonts w:ascii="Times New Roman" w:eastAsia="Times New Roman" w:hAnsi="Times New Roman"/>
          <w:sz w:val="20"/>
          <w:szCs w:val="20"/>
          <w:lang w:val="pt-PT"/>
        </w:rPr>
        <w:t xml:space="preserve">Os clientes utilizadores finais residentes na União Europeia continental, Reino Unido, Suíça, Noruega, Suécia, Finlândia, Albânia, Bósnia-Herzegovina, Islândia, Macedónia e Sérvia (exceto Ilhas Canárias, Ucrânia e qualquer país ao qual se apliquem atualmente sanções comerciais da UE ou dos EUA) (“Território do Programa”) são elegíveis para participar nesta promoção. As compras têm de ser efetuadas através de um distribuidor autorizado da Fluke no país de residência do cliente, que conste no Território do Programa. </w:t>
      </w:r>
    </w:p>
    <w:p w14:paraId="3491D032" w14:textId="77777777" w:rsidR="00F23A2D" w:rsidRPr="006E3C14" w:rsidRDefault="00EB538B" w:rsidP="006E3C14">
      <w:pPr>
        <w:pStyle w:val="BodyText"/>
        <w:numPr>
          <w:ilvl w:val="0"/>
          <w:numId w:val="11"/>
        </w:numPr>
        <w:spacing w:after="0"/>
        <w:ind w:left="709"/>
        <w:jc w:val="both"/>
        <w:rPr>
          <w:rFonts w:ascii="Times New Roman" w:hAnsi="Times New Roman"/>
          <w:sz w:val="20"/>
        </w:rPr>
      </w:pPr>
      <w:r>
        <w:rPr>
          <w:rFonts w:ascii="Times New Roman" w:eastAsia="Times New Roman" w:hAnsi="Times New Roman"/>
          <w:sz w:val="20"/>
          <w:szCs w:val="20"/>
          <w:lang w:val="pt-PT"/>
        </w:rPr>
        <w:t xml:space="preserve">É necessário o comprovativo de venda sob a forma de um recibo ou fatura únicos. </w:t>
      </w:r>
      <w:bookmarkStart w:id="0" w:name="_Hlk29220021"/>
      <w:r>
        <w:rPr>
          <w:rFonts w:ascii="Times New Roman" w:eastAsia="Times New Roman" w:hAnsi="Times New Roman"/>
          <w:sz w:val="20"/>
          <w:szCs w:val="20"/>
          <w:lang w:val="pt-PT"/>
        </w:rPr>
        <w:t>Os recibos de entrega ou notas/confirmações de encomendas não são aceitáveis como comprovativo de compra.</w:t>
      </w:r>
      <w:bookmarkEnd w:id="0"/>
    </w:p>
    <w:p w14:paraId="58ECEF7F" w14:textId="77777777" w:rsidR="00F23A2D" w:rsidRPr="006E3C14" w:rsidRDefault="00EB538B" w:rsidP="006E3C14">
      <w:pPr>
        <w:pStyle w:val="BodyText"/>
        <w:numPr>
          <w:ilvl w:val="0"/>
          <w:numId w:val="11"/>
        </w:numPr>
        <w:spacing w:after="0"/>
        <w:ind w:left="709"/>
        <w:jc w:val="both"/>
        <w:rPr>
          <w:rFonts w:ascii="Times New Roman" w:hAnsi="Times New Roman"/>
          <w:sz w:val="20"/>
        </w:rPr>
      </w:pPr>
      <w:r>
        <w:rPr>
          <w:rFonts w:ascii="Times New Roman" w:eastAsia="Times New Roman" w:hAnsi="Times New Roman"/>
          <w:sz w:val="20"/>
          <w:szCs w:val="20"/>
          <w:lang w:val="pt-PT"/>
        </w:rPr>
        <w:t>Apenas se qualificam para esta promoção os produtos Fluke elegíveis.</w:t>
      </w:r>
    </w:p>
    <w:p w14:paraId="14ACB31B" w14:textId="77777777" w:rsidR="00F23A2D" w:rsidRPr="006E3C14" w:rsidRDefault="00EB538B" w:rsidP="006E3C14">
      <w:pPr>
        <w:pStyle w:val="BodyText"/>
        <w:numPr>
          <w:ilvl w:val="0"/>
          <w:numId w:val="11"/>
        </w:numPr>
        <w:spacing w:after="0"/>
        <w:ind w:left="709"/>
        <w:jc w:val="both"/>
        <w:rPr>
          <w:rFonts w:ascii="Times New Roman" w:hAnsi="Times New Roman"/>
          <w:sz w:val="20"/>
        </w:rPr>
      </w:pPr>
      <w:r>
        <w:rPr>
          <w:rFonts w:ascii="Times New Roman" w:eastAsia="Times New Roman" w:hAnsi="Times New Roman"/>
          <w:sz w:val="20"/>
          <w:szCs w:val="20"/>
          <w:lang w:val="pt-PT"/>
        </w:rPr>
        <w:t>Para aquisições online, é necessária a prova de entrega que indica a transportadora, data da entrega e número de registo eletrónico.</w:t>
      </w:r>
    </w:p>
    <w:p w14:paraId="405FCFBA" w14:textId="1281E36F" w:rsidR="00F23A2D" w:rsidRPr="006E3C14" w:rsidRDefault="00EB538B" w:rsidP="006E3C14">
      <w:pPr>
        <w:pStyle w:val="BodyText"/>
        <w:numPr>
          <w:ilvl w:val="0"/>
          <w:numId w:val="10"/>
        </w:numPr>
        <w:spacing w:after="0"/>
        <w:ind w:left="426" w:hanging="426"/>
        <w:jc w:val="both"/>
        <w:rPr>
          <w:rFonts w:ascii="Times New Roman" w:hAnsi="Times New Roman"/>
          <w:sz w:val="20"/>
        </w:rPr>
      </w:pPr>
      <w:r>
        <w:rPr>
          <w:rFonts w:ascii="Times New Roman" w:eastAsia="Times New Roman" w:hAnsi="Times New Roman"/>
          <w:sz w:val="20"/>
          <w:szCs w:val="20"/>
          <w:lang w:val="pt-PT"/>
        </w:rPr>
        <w:t xml:space="preserve">Troque a sua oferta online! Visite: </w:t>
      </w:r>
      <w:hyperlink r:id="rId12" w:history="1">
        <w:r w:rsidR="00E17D5D" w:rsidRPr="00A05288">
          <w:rPr>
            <w:rStyle w:val="Hyperlink"/>
            <w:rFonts w:ascii="Times New Roman" w:eastAsia="Times New Roman" w:hAnsi="Times New Roman"/>
            <w:sz w:val="20"/>
            <w:szCs w:val="20"/>
            <w:lang w:val="pt-PT"/>
          </w:rPr>
          <w:t>www.fluke.pt/freefluke</w:t>
        </w:r>
      </w:hyperlink>
      <w:r>
        <w:rPr>
          <w:rFonts w:ascii="Times New Roman" w:eastAsia="Times New Roman" w:hAnsi="Times New Roman"/>
          <w:sz w:val="20"/>
          <w:szCs w:val="20"/>
          <w:lang w:val="pt-PT"/>
        </w:rPr>
        <w:t xml:space="preserve"> </w:t>
      </w:r>
    </w:p>
    <w:p w14:paraId="3A8A3F6A" w14:textId="10666C28" w:rsidR="00F23A2D" w:rsidRPr="006E3C14" w:rsidRDefault="00EB538B" w:rsidP="006E3C14">
      <w:pPr>
        <w:pStyle w:val="BodyText"/>
        <w:numPr>
          <w:ilvl w:val="0"/>
          <w:numId w:val="10"/>
        </w:numPr>
        <w:spacing w:after="0"/>
        <w:ind w:left="426" w:hanging="426"/>
        <w:jc w:val="both"/>
        <w:rPr>
          <w:rFonts w:ascii="Times New Roman" w:hAnsi="Times New Roman"/>
          <w:sz w:val="20"/>
        </w:rPr>
      </w:pPr>
      <w:r>
        <w:rPr>
          <w:rFonts w:ascii="Times New Roman" w:eastAsia="Times New Roman" w:hAnsi="Times New Roman"/>
          <w:sz w:val="20"/>
          <w:szCs w:val="20"/>
          <w:lang w:val="pt-PT"/>
        </w:rPr>
        <w:t>Receba e desfrute da sua nova ferramenta Fluke!</w:t>
      </w:r>
    </w:p>
    <w:p w14:paraId="64AF9C93" w14:textId="64CCADF7" w:rsidR="00F23A2D" w:rsidRPr="00EB538B" w:rsidRDefault="00EB538B" w:rsidP="006E3C14">
      <w:pPr>
        <w:pStyle w:val="BodyText"/>
        <w:spacing w:after="0"/>
        <w:ind w:left="0"/>
        <w:jc w:val="both"/>
        <w:rPr>
          <w:rFonts w:ascii="Times New Roman" w:hAnsi="Times New Roman"/>
          <w:sz w:val="20"/>
          <w:lang w:val="nl-NL"/>
        </w:rPr>
      </w:pPr>
      <w:r>
        <w:rPr>
          <w:rFonts w:ascii="Times New Roman" w:eastAsia="Times New Roman" w:hAnsi="Times New Roman"/>
          <w:sz w:val="20"/>
          <w:szCs w:val="20"/>
          <w:lang w:val="pt-PT"/>
        </w:rPr>
        <w:t xml:space="preserve">*Sujeito a termos e condições adicionais. Ao participar nesta promoção, concorda com os termos e condições. Consulte os termos e condições na íntegra em </w:t>
      </w:r>
      <w:r w:rsidR="00E17D5D">
        <w:rPr>
          <w:rFonts w:ascii="Times New Roman" w:eastAsia="Times New Roman" w:hAnsi="Times New Roman"/>
          <w:sz w:val="20"/>
          <w:szCs w:val="20"/>
          <w:lang w:val="pt-PT"/>
        </w:rPr>
        <w:t xml:space="preserve"> </w:t>
      </w:r>
      <w:hyperlink r:id="rId13" w:history="1">
        <w:r w:rsidR="00E17D5D" w:rsidRPr="00A05288">
          <w:rPr>
            <w:rStyle w:val="Hyperlink"/>
            <w:rFonts w:ascii="Times New Roman" w:eastAsia="Times New Roman" w:hAnsi="Times New Roman"/>
            <w:sz w:val="20"/>
            <w:szCs w:val="20"/>
            <w:lang w:val="pt-PT"/>
          </w:rPr>
          <w:t>www.fluke.pt/freefluke</w:t>
        </w:r>
      </w:hyperlink>
    </w:p>
    <w:p w14:paraId="3BCE5A12" w14:textId="77777777" w:rsidR="00F5105E" w:rsidRPr="00EB538B" w:rsidRDefault="00F5105E" w:rsidP="00F5105E">
      <w:pPr>
        <w:pStyle w:val="TITLECAPS"/>
        <w:spacing w:after="0"/>
        <w:jc w:val="both"/>
        <w:rPr>
          <w:rFonts w:ascii="Times New Roman" w:hAnsi="Times New Roman"/>
          <w:color w:val="1F497D"/>
          <w:sz w:val="20"/>
          <w:szCs w:val="20"/>
          <w:lang w:val="nl-NL"/>
        </w:rPr>
      </w:pPr>
    </w:p>
    <w:p w14:paraId="1691B4D8" w14:textId="77777777" w:rsidR="00F5105E" w:rsidRPr="00EB538B" w:rsidRDefault="00F5105E" w:rsidP="00F5105E">
      <w:pPr>
        <w:pStyle w:val="Title"/>
        <w:spacing w:after="0"/>
        <w:jc w:val="both"/>
        <w:rPr>
          <w:rFonts w:ascii="Times New Roman" w:hAnsi="Times New Roman"/>
          <w:sz w:val="20"/>
          <w:szCs w:val="20"/>
          <w:lang w:val="nl-NL"/>
        </w:rPr>
      </w:pPr>
    </w:p>
    <w:p w14:paraId="1DFD94F0" w14:textId="6B041475" w:rsidR="00227B20" w:rsidRPr="00490983" w:rsidRDefault="00EB538B" w:rsidP="00F5105E">
      <w:pPr>
        <w:pStyle w:val="Title"/>
        <w:spacing w:after="0"/>
        <w:jc w:val="both"/>
        <w:rPr>
          <w:rFonts w:ascii="Times New Roman" w:hAnsi="Times New Roman"/>
          <w:color w:val="auto"/>
          <w:sz w:val="20"/>
          <w:szCs w:val="20"/>
        </w:rPr>
      </w:pPr>
      <w:r>
        <w:rPr>
          <w:rFonts w:ascii="Times New Roman" w:eastAsia="Times New Roman" w:hAnsi="Times New Roman"/>
          <w:bCs/>
          <w:color w:val="4472C4"/>
          <w:sz w:val="20"/>
          <w:szCs w:val="20"/>
          <w:lang w:val="pt-PT"/>
        </w:rPr>
        <w:t>Termos e condições</w:t>
      </w:r>
    </w:p>
    <w:p w14:paraId="1E8C0925" w14:textId="77777777" w:rsidR="00F5105E" w:rsidRPr="006D63B1" w:rsidRDefault="00F5105E" w:rsidP="00012874">
      <w:pPr>
        <w:rPr>
          <w:sz w:val="20"/>
          <w:szCs w:val="20"/>
        </w:rPr>
      </w:pPr>
    </w:p>
    <w:p w14:paraId="24478E83" w14:textId="69B1A2DB" w:rsidR="00227B20" w:rsidRPr="006D63B1" w:rsidRDefault="00EB538B" w:rsidP="000A4866">
      <w:pPr>
        <w:pStyle w:val="ListParagraph"/>
        <w:numPr>
          <w:ilvl w:val="0"/>
          <w:numId w:val="9"/>
        </w:numPr>
        <w:ind w:left="284" w:hanging="284"/>
        <w:jc w:val="both"/>
        <w:rPr>
          <w:sz w:val="20"/>
        </w:rPr>
      </w:pPr>
      <w:r>
        <w:rPr>
          <w:rFonts w:eastAsia="Times New Roman"/>
          <w:b/>
          <w:bCs/>
          <w:sz w:val="20"/>
          <w:szCs w:val="20"/>
          <w:lang w:val="pt-PT"/>
        </w:rPr>
        <w:t>Descrição</w:t>
      </w:r>
      <w:r>
        <w:rPr>
          <w:rFonts w:eastAsia="Times New Roman"/>
          <w:sz w:val="20"/>
          <w:szCs w:val="20"/>
          <w:lang w:val="pt-PT"/>
        </w:rPr>
        <w:t>.  No âmbito deste programa Compre um produto Fluke, receba um produto grátis (o “</w:t>
      </w:r>
      <w:r>
        <w:rPr>
          <w:rFonts w:eastAsia="Times New Roman"/>
          <w:b/>
          <w:bCs/>
          <w:i/>
          <w:iCs/>
          <w:sz w:val="20"/>
          <w:szCs w:val="20"/>
          <w:lang w:val="pt-PT"/>
        </w:rPr>
        <w:t>Programa</w:t>
      </w:r>
      <w:r>
        <w:rPr>
          <w:rFonts w:eastAsia="Times New Roman"/>
          <w:sz w:val="20"/>
          <w:szCs w:val="20"/>
          <w:lang w:val="pt-PT"/>
        </w:rPr>
        <w:t>” ou a “</w:t>
      </w:r>
      <w:r>
        <w:rPr>
          <w:rFonts w:eastAsia="Times New Roman"/>
          <w:b/>
          <w:bCs/>
          <w:i/>
          <w:iCs/>
          <w:sz w:val="20"/>
          <w:szCs w:val="20"/>
          <w:lang w:val="pt-PT"/>
        </w:rPr>
        <w:t>Promoção</w:t>
      </w:r>
      <w:r>
        <w:rPr>
          <w:rFonts w:eastAsia="Times New Roman"/>
          <w:sz w:val="20"/>
          <w:szCs w:val="20"/>
          <w:lang w:val="pt-PT"/>
        </w:rPr>
        <w:t>”), durante o perío</w:t>
      </w:r>
      <w:r w:rsidRPr="00E17D5D">
        <w:rPr>
          <w:rFonts w:eastAsia="Times New Roman"/>
          <w:sz w:val="20"/>
          <w:szCs w:val="20"/>
          <w:lang w:val="pt-PT"/>
        </w:rPr>
        <w:t>do de 1 de março de 2024 e 31 de agosto de 2024 (o</w:t>
      </w:r>
      <w:r>
        <w:rPr>
          <w:rFonts w:eastAsia="Times New Roman"/>
          <w:sz w:val="20"/>
          <w:szCs w:val="20"/>
          <w:lang w:val="pt-PT"/>
        </w:rPr>
        <w:t xml:space="preserve"> “</w:t>
      </w:r>
      <w:r>
        <w:rPr>
          <w:rFonts w:eastAsia="Times New Roman"/>
          <w:b/>
          <w:bCs/>
          <w:i/>
          <w:iCs/>
          <w:sz w:val="20"/>
          <w:szCs w:val="20"/>
          <w:lang w:val="pt-PT"/>
        </w:rPr>
        <w:t>Período do programa</w:t>
      </w:r>
      <w:r>
        <w:rPr>
          <w:rFonts w:eastAsia="Times New Roman"/>
          <w:sz w:val="20"/>
          <w:szCs w:val="20"/>
          <w:lang w:val="pt-PT"/>
        </w:rPr>
        <w:t>”), obtenha uma oferta da Fluke conforme especificada abaixo (“</w:t>
      </w:r>
      <w:r>
        <w:rPr>
          <w:rFonts w:eastAsia="Times New Roman"/>
          <w:b/>
          <w:bCs/>
          <w:i/>
          <w:iCs/>
          <w:sz w:val="20"/>
          <w:szCs w:val="20"/>
          <w:lang w:val="pt-PT"/>
        </w:rPr>
        <w:t>Oferta</w:t>
      </w:r>
      <w:r>
        <w:rPr>
          <w:rFonts w:eastAsia="Times New Roman"/>
          <w:i/>
          <w:iCs/>
          <w:sz w:val="20"/>
          <w:szCs w:val="20"/>
          <w:lang w:val="pt-PT"/>
        </w:rPr>
        <w:t xml:space="preserve"> </w:t>
      </w:r>
      <w:r>
        <w:rPr>
          <w:rFonts w:eastAsia="Times New Roman"/>
          <w:sz w:val="20"/>
          <w:szCs w:val="20"/>
          <w:lang w:val="pt-PT"/>
        </w:rPr>
        <w:t>”) ao adquirir um produto Fluke elegível (“</w:t>
      </w:r>
      <w:r>
        <w:rPr>
          <w:rFonts w:eastAsia="Times New Roman"/>
          <w:b/>
          <w:bCs/>
          <w:i/>
          <w:iCs/>
          <w:sz w:val="20"/>
          <w:szCs w:val="20"/>
          <w:lang w:val="pt-PT"/>
        </w:rPr>
        <w:t>Compra elegível</w:t>
      </w:r>
      <w:r>
        <w:rPr>
          <w:rFonts w:eastAsia="Times New Roman"/>
          <w:sz w:val="20"/>
          <w:szCs w:val="20"/>
          <w:lang w:val="pt-PT"/>
        </w:rPr>
        <w:t>”) conforme detalhado abaixo, num distribuidor autorizado na União Europeia continental, Reino Unido, Suíça, Noruega, Suécia, Finlândia, Albânia, Bósnia-Herzegovina, Islândia, Macedónia do Norte, e Sérvia (exceto Ilhas Canárias, Ucrânia e qualquer país ao qual se apliquem atualmente sanções comerciais da UE ou dos EUA) (“</w:t>
      </w:r>
      <w:r>
        <w:rPr>
          <w:rFonts w:eastAsia="Times New Roman"/>
          <w:b/>
          <w:bCs/>
          <w:i/>
          <w:iCs/>
          <w:sz w:val="20"/>
          <w:szCs w:val="20"/>
          <w:lang w:val="pt-PT"/>
        </w:rPr>
        <w:t>Território do programa</w:t>
      </w:r>
      <w:r>
        <w:rPr>
          <w:rFonts w:eastAsia="Times New Roman"/>
          <w:i/>
          <w:iCs/>
          <w:sz w:val="20"/>
          <w:szCs w:val="20"/>
          <w:lang w:val="pt-PT"/>
        </w:rPr>
        <w:t>”).</w:t>
      </w:r>
      <w:r>
        <w:rPr>
          <w:rFonts w:eastAsia="Times New Roman"/>
          <w:sz w:val="20"/>
          <w:szCs w:val="20"/>
          <w:lang w:val="pt-PT"/>
        </w:rPr>
        <w:t xml:space="preserve">  Para efetuar uma Compra elegível, contacte diretamente a Fluke Europe B.V. (“</w:t>
      </w:r>
      <w:r>
        <w:rPr>
          <w:rFonts w:eastAsia="Times New Roman"/>
          <w:b/>
          <w:bCs/>
          <w:i/>
          <w:iCs/>
          <w:sz w:val="20"/>
          <w:szCs w:val="20"/>
          <w:lang w:val="pt-PT"/>
        </w:rPr>
        <w:t>Patrocinador</w:t>
      </w:r>
      <w:r>
        <w:rPr>
          <w:rFonts w:eastAsia="Times New Roman"/>
          <w:i/>
          <w:iCs/>
          <w:sz w:val="20"/>
          <w:szCs w:val="20"/>
          <w:lang w:val="pt-PT"/>
        </w:rPr>
        <w:t>”)</w:t>
      </w:r>
      <w:r>
        <w:rPr>
          <w:rFonts w:eastAsia="Times New Roman"/>
          <w:sz w:val="20"/>
          <w:szCs w:val="20"/>
          <w:lang w:val="pt-PT"/>
        </w:rPr>
        <w:t xml:space="preserve"> ou procure um distribuidor autorizado </w:t>
      </w:r>
      <w:hyperlink r:id="rId14" w:history="1">
        <w:r>
          <w:rPr>
            <w:rFonts w:eastAsia="Times New Roman"/>
            <w:color w:val="0000FF"/>
            <w:sz w:val="20"/>
            <w:szCs w:val="20"/>
            <w:u w:val="single"/>
            <w:lang w:val="pt-PT"/>
          </w:rPr>
          <w:t>aqui</w:t>
        </w:r>
      </w:hyperlink>
      <w:r>
        <w:rPr>
          <w:rFonts w:eastAsia="Times New Roman"/>
          <w:sz w:val="20"/>
          <w:szCs w:val="20"/>
          <w:lang w:val="pt-PT"/>
        </w:rPr>
        <w:t>.</w:t>
      </w:r>
    </w:p>
    <w:p w14:paraId="2AC149F4" w14:textId="77777777" w:rsidR="00351E27" w:rsidRPr="006D63B1" w:rsidRDefault="00351E27" w:rsidP="00F5105E">
      <w:pPr>
        <w:pStyle w:val="BodyText"/>
        <w:spacing w:after="0"/>
        <w:ind w:left="270"/>
        <w:jc w:val="both"/>
        <w:rPr>
          <w:rFonts w:ascii="Times New Roman" w:hAnsi="Times New Roman"/>
          <w:sz w:val="20"/>
          <w:szCs w:val="20"/>
        </w:rPr>
      </w:pPr>
    </w:p>
    <w:p w14:paraId="6832EA77" w14:textId="20D72624" w:rsidR="00227B20" w:rsidRDefault="00EB538B" w:rsidP="00F5105E">
      <w:pPr>
        <w:pStyle w:val="BodyText"/>
        <w:spacing w:after="0"/>
        <w:ind w:left="270"/>
        <w:jc w:val="both"/>
        <w:rPr>
          <w:rFonts w:ascii="Times New Roman" w:eastAsia="Times New Roman" w:hAnsi="Times New Roman"/>
          <w:sz w:val="20"/>
          <w:szCs w:val="20"/>
          <w:lang w:val="pt-PT"/>
        </w:rPr>
      </w:pPr>
      <w:r>
        <w:rPr>
          <w:rFonts w:ascii="Times New Roman" w:eastAsia="Times New Roman" w:hAnsi="Times New Roman"/>
          <w:sz w:val="20"/>
          <w:szCs w:val="20"/>
          <w:lang w:val="pt-PT"/>
        </w:rPr>
        <w:t>Cada Compra elegível deve ser realizada durante o Período do programa, conforme mostrado pela data de compra na fatura/recibo do cliente. A Promoção só é válida na(s) compra(s) durante o Período do programa. A oferta disponível no âmbito do Programa não pode ser combinada com qualquer outra oferta ou trocada por uma alternativa de produtos, serviços, dinheiro ou créditos, exceto conforme expressamente autorizado nestes termos e condições.</w:t>
      </w:r>
    </w:p>
    <w:p w14:paraId="0B195392" w14:textId="77777777" w:rsidR="00EB538B" w:rsidRDefault="00EB538B" w:rsidP="00F5105E">
      <w:pPr>
        <w:pStyle w:val="BodyText"/>
        <w:spacing w:after="0"/>
        <w:ind w:left="270"/>
        <w:jc w:val="both"/>
        <w:rPr>
          <w:rFonts w:ascii="Times New Roman" w:eastAsia="Times New Roman" w:hAnsi="Times New Roman"/>
          <w:sz w:val="20"/>
          <w:szCs w:val="20"/>
          <w:lang w:val="pt-PT"/>
        </w:rPr>
      </w:pPr>
    </w:p>
    <w:p w14:paraId="6B60E361" w14:textId="77777777" w:rsidR="00E17D5D" w:rsidRPr="006D63B1" w:rsidRDefault="00E17D5D" w:rsidP="00E17D5D">
      <w:pPr>
        <w:pStyle w:val="ListParagraph"/>
        <w:numPr>
          <w:ilvl w:val="0"/>
          <w:numId w:val="9"/>
        </w:numPr>
        <w:ind w:left="284" w:hanging="284"/>
        <w:jc w:val="both"/>
        <w:rPr>
          <w:sz w:val="20"/>
        </w:rPr>
      </w:pPr>
      <w:r>
        <w:rPr>
          <w:rFonts w:eastAsia="Times New Roman"/>
          <w:b/>
          <w:bCs/>
          <w:sz w:val="20"/>
          <w:szCs w:val="20"/>
          <w:lang w:val="pt-PT"/>
        </w:rPr>
        <w:t>Elegibilidade</w:t>
      </w:r>
      <w:r>
        <w:rPr>
          <w:rFonts w:eastAsia="Times New Roman"/>
          <w:sz w:val="20"/>
          <w:szCs w:val="20"/>
          <w:lang w:val="pt-PT"/>
        </w:rPr>
        <w:t xml:space="preserve">.  A Promoção é nula onde for proibida por lei e está aberta apenas a clientes sediados no Território do programa.  </w:t>
      </w:r>
    </w:p>
    <w:p w14:paraId="7F0003E2" w14:textId="77777777" w:rsidR="00E17D5D" w:rsidRPr="006D63B1" w:rsidRDefault="00E17D5D" w:rsidP="00E17D5D">
      <w:pPr>
        <w:pStyle w:val="ListParagraph"/>
        <w:ind w:left="284"/>
        <w:jc w:val="both"/>
        <w:rPr>
          <w:sz w:val="20"/>
        </w:rPr>
      </w:pPr>
    </w:p>
    <w:p w14:paraId="3EA1FAD9" w14:textId="77777777" w:rsidR="00E17D5D" w:rsidRPr="00B41A7A" w:rsidRDefault="00E17D5D" w:rsidP="00E17D5D">
      <w:pPr>
        <w:pStyle w:val="BodyText"/>
        <w:spacing w:after="0"/>
        <w:ind w:left="270"/>
        <w:jc w:val="both"/>
        <w:rPr>
          <w:rFonts w:ascii="Times New Roman" w:hAnsi="Times New Roman"/>
          <w:sz w:val="20"/>
          <w:lang w:val="pt-PT"/>
        </w:rPr>
      </w:pPr>
      <w:r>
        <w:rPr>
          <w:rFonts w:ascii="Times New Roman" w:eastAsia="Times New Roman" w:hAnsi="Times New Roman"/>
          <w:sz w:val="20"/>
          <w:szCs w:val="20"/>
          <w:lang w:val="pt-PT"/>
        </w:rPr>
        <w:t>Se efetuar uma Compra elegível especificada no seu pedido de oferta para ou em nome da sua entidade patronal, então concorda em entregar prontamente qualquer oferta atribuída no âmbito do Programa à sua entidade patronal e em fornecer ao Patrocinador provas dessa entrega, mediante pedido.  Além disso, o utilizador é o único responsável pelo cumprimento das políticas da sua empresa relativamente à aceitação de ofertas e à participação em promoções como este Programa.</w:t>
      </w:r>
    </w:p>
    <w:p w14:paraId="67213983" w14:textId="77777777" w:rsidR="00E17D5D" w:rsidRPr="00B41A7A" w:rsidRDefault="00E17D5D" w:rsidP="00E17D5D">
      <w:pPr>
        <w:pStyle w:val="OutlineL1"/>
        <w:numPr>
          <w:ilvl w:val="0"/>
          <w:numId w:val="0"/>
        </w:numPr>
        <w:spacing w:after="0"/>
        <w:ind w:left="270"/>
        <w:jc w:val="both"/>
        <w:rPr>
          <w:rFonts w:ascii="Times New Roman" w:eastAsia="Calibri" w:hAnsi="Times New Roman"/>
          <w:color w:val="auto"/>
          <w:sz w:val="20"/>
          <w:szCs w:val="24"/>
          <w:lang w:val="pt-PT"/>
        </w:rPr>
      </w:pPr>
    </w:p>
    <w:p w14:paraId="00A838E6" w14:textId="77777777" w:rsidR="00E17D5D" w:rsidRPr="006D63B1" w:rsidRDefault="00E17D5D" w:rsidP="00E17D5D">
      <w:pPr>
        <w:pStyle w:val="OutlineL1"/>
        <w:numPr>
          <w:ilvl w:val="0"/>
          <w:numId w:val="0"/>
        </w:numPr>
        <w:spacing w:after="0"/>
        <w:ind w:left="270"/>
        <w:jc w:val="both"/>
        <w:rPr>
          <w:rFonts w:ascii="Times New Roman" w:eastAsia="Calibri" w:hAnsi="Times New Roman"/>
          <w:color w:val="auto"/>
          <w:sz w:val="20"/>
          <w:szCs w:val="24"/>
        </w:rPr>
      </w:pPr>
      <w:r>
        <w:rPr>
          <w:rFonts w:ascii="Times New Roman" w:hAnsi="Times New Roman"/>
          <w:color w:val="auto"/>
          <w:sz w:val="20"/>
          <w:lang w:val="pt-PT"/>
        </w:rPr>
        <w:t xml:space="preserve">Os funcionários, diretores e responsáveis do Patrocinador, as respetivas empresas mãe, empresas afiliadas, subsidiárias, distribuidoras, (sub)distribuidores, agentes, revendedores, representantes, agências de relações públicas, de publicidade, de promoção e de execução, conselheiros profissionais, consultores, fornecedores de sítios Web, webmasters e os familiares imediatos dessas pessoas (pais, irmãos, filhos e cônjuge, onde quer que vivam) e as pessoas que vivem na mesma casa (quer sejam da mesma família ou não) não são elegíveis para </w:t>
      </w:r>
      <w:r>
        <w:rPr>
          <w:rFonts w:ascii="Times New Roman" w:hAnsi="Times New Roman"/>
          <w:color w:val="auto"/>
          <w:sz w:val="20"/>
          <w:lang w:val="pt-PT"/>
        </w:rPr>
        <w:lastRenderedPageBreak/>
        <w:t>participar na Promoção. Esta Promoção também não se aplica aos profissionais de saúde, que sejam (a) indivíduos (ou entidades) envolvidos na prestação de serviços de saúde a pacientes ou (b) indivíduos (ou entidades) que compram, alugam, recomendam, utilizam ou prescrevem os produtos ou serviços médicos do Patrocinador, ou que providenciam a compra ou o aluguer dos mesmos, em nome dos profissionais de saúde, incluindo os agentes de compra de médicos, os gestores de clínicas médicas e a gestão de organizações de compras de grupos médicos. Adicionalmente, nenhum funcionário, responsável, diretor, representante ou agente dos distribuidores do Patrocinador ou qualquer fabricante de ferramentas da concorrência é elegível para participar no Programa.</w:t>
      </w:r>
    </w:p>
    <w:p w14:paraId="708F1494" w14:textId="77777777" w:rsidR="00EB538B" w:rsidRPr="006D63B1" w:rsidRDefault="00EB538B" w:rsidP="00F5105E">
      <w:pPr>
        <w:pStyle w:val="BodyText"/>
        <w:spacing w:after="0"/>
        <w:ind w:left="270"/>
        <w:jc w:val="both"/>
        <w:rPr>
          <w:rFonts w:ascii="Times New Roman" w:hAnsi="Times New Roman"/>
          <w:sz w:val="20"/>
          <w:szCs w:val="20"/>
        </w:rPr>
      </w:pPr>
    </w:p>
    <w:p w14:paraId="371C7436" w14:textId="77777777" w:rsidR="000A4866" w:rsidRPr="006D63B1" w:rsidRDefault="000A4866" w:rsidP="000A4866">
      <w:pPr>
        <w:pStyle w:val="ListParagraph"/>
        <w:ind w:left="284"/>
        <w:jc w:val="both"/>
        <w:rPr>
          <w:sz w:val="20"/>
        </w:rPr>
      </w:pPr>
    </w:p>
    <w:p w14:paraId="515866A8" w14:textId="213CD4DE" w:rsidR="00227B20" w:rsidRPr="00F805DE" w:rsidRDefault="00EB538B" w:rsidP="00F805DE">
      <w:pPr>
        <w:pStyle w:val="ListParagraph"/>
        <w:numPr>
          <w:ilvl w:val="0"/>
          <w:numId w:val="14"/>
        </w:numPr>
        <w:jc w:val="both"/>
        <w:rPr>
          <w:sz w:val="20"/>
        </w:rPr>
      </w:pPr>
      <w:r>
        <w:rPr>
          <w:rFonts w:eastAsia="Times New Roman"/>
          <w:b/>
          <w:bCs/>
          <w:sz w:val="20"/>
          <w:szCs w:val="20"/>
          <w:lang w:val="pt-PT"/>
        </w:rPr>
        <w:t>Detalhes do programa</w:t>
      </w:r>
      <w:r>
        <w:rPr>
          <w:rFonts w:eastAsia="Times New Roman"/>
          <w:sz w:val="20"/>
          <w:szCs w:val="20"/>
          <w:lang w:val="pt-PT"/>
        </w:rPr>
        <w:t xml:space="preserve">.  </w:t>
      </w:r>
    </w:p>
    <w:p w14:paraId="3FBF7926" w14:textId="77777777" w:rsidR="00945A1B" w:rsidRPr="006D63B1" w:rsidRDefault="00945A1B" w:rsidP="001750F9">
      <w:pPr>
        <w:pStyle w:val="BodyText"/>
        <w:spacing w:after="0"/>
        <w:rPr>
          <w:rFonts w:ascii="Times New Roman" w:hAnsi="Times New Roman"/>
          <w:sz w:val="20"/>
        </w:rPr>
      </w:pPr>
    </w:p>
    <w:p w14:paraId="5E6B8BE0" w14:textId="5EED6E5D" w:rsidR="00920FA5" w:rsidRPr="00307B32" w:rsidRDefault="00EB538B" w:rsidP="00F805DE">
      <w:pPr>
        <w:pStyle w:val="ListParagraph"/>
        <w:numPr>
          <w:ilvl w:val="1"/>
          <w:numId w:val="14"/>
        </w:numPr>
        <w:jc w:val="both"/>
        <w:rPr>
          <w:sz w:val="20"/>
        </w:rPr>
      </w:pPr>
      <w:r>
        <w:rPr>
          <w:rFonts w:eastAsia="Times New Roman"/>
          <w:sz w:val="20"/>
          <w:szCs w:val="20"/>
          <w:lang w:val="pt-PT"/>
        </w:rPr>
        <w:t xml:space="preserve">Faça uma Compra elegível de qualquer um dos seguintes produtos num distribuidor autorizado listado </w:t>
      </w:r>
      <w:hyperlink r:id="rId15" w:history="1">
        <w:r>
          <w:rPr>
            <w:rFonts w:eastAsia="Times New Roman"/>
            <w:color w:val="0000FF"/>
            <w:sz w:val="20"/>
            <w:szCs w:val="20"/>
            <w:u w:val="single"/>
            <w:lang w:val="pt-PT"/>
          </w:rPr>
          <w:t>aqui</w:t>
        </w:r>
      </w:hyperlink>
      <w:r>
        <w:rPr>
          <w:rFonts w:eastAsia="Times New Roman"/>
          <w:sz w:val="20"/>
          <w:szCs w:val="20"/>
          <w:lang w:val="pt-PT"/>
        </w:rPr>
        <w:t xml:space="preserve">. </w:t>
      </w:r>
    </w:p>
    <w:p w14:paraId="7B956D38" w14:textId="77777777" w:rsidR="000B2D6B" w:rsidRDefault="000B2D6B" w:rsidP="000B2D6B">
      <w:pPr>
        <w:pStyle w:val="ListParagraph"/>
        <w:jc w:val="both"/>
        <w:rPr>
          <w:sz w:val="20"/>
        </w:rPr>
      </w:pPr>
    </w:p>
    <w:p w14:paraId="4E16D7D8" w14:textId="60927CFD" w:rsidR="006045CF" w:rsidRPr="006045CF" w:rsidRDefault="00EB538B" w:rsidP="008941D4">
      <w:pPr>
        <w:pStyle w:val="ListParagraph"/>
        <w:numPr>
          <w:ilvl w:val="0"/>
          <w:numId w:val="13"/>
        </w:numPr>
        <w:ind w:left="993" w:hanging="284"/>
        <w:jc w:val="both"/>
        <w:rPr>
          <w:sz w:val="20"/>
        </w:rPr>
      </w:pPr>
      <w:r>
        <w:rPr>
          <w:rFonts w:eastAsia="Times New Roman"/>
          <w:sz w:val="20"/>
          <w:szCs w:val="20"/>
          <w:lang w:val="pt-PT"/>
        </w:rPr>
        <w:t xml:space="preserve">Produtos Fluke IG, conforme listados em </w:t>
      </w:r>
      <w:hyperlink r:id="rId16" w:history="1">
        <w:r w:rsidR="00E17D5D" w:rsidRPr="00A05288">
          <w:rPr>
            <w:rStyle w:val="Hyperlink"/>
            <w:rFonts w:eastAsia="Times New Roman"/>
            <w:sz w:val="20"/>
            <w:szCs w:val="20"/>
            <w:lang w:val="pt-PT"/>
          </w:rPr>
          <w:t>https://www.fluke.com/en-gb-products</w:t>
        </w:r>
      </w:hyperlink>
      <w:r w:rsidR="00E17D5D">
        <w:rPr>
          <w:rFonts w:eastAsia="Times New Roman"/>
          <w:sz w:val="20"/>
          <w:szCs w:val="20"/>
          <w:lang w:val="pt-PT"/>
        </w:rPr>
        <w:t xml:space="preserve"> </w:t>
      </w:r>
      <w:r>
        <w:rPr>
          <w:rFonts w:eastAsia="Times New Roman"/>
          <w:sz w:val="20"/>
          <w:szCs w:val="20"/>
          <w:lang w:val="pt-PT"/>
        </w:rPr>
        <w:t>;</w:t>
      </w:r>
    </w:p>
    <w:p w14:paraId="5D63454B" w14:textId="37E2ACCD" w:rsidR="006045CF" w:rsidRPr="006045CF" w:rsidRDefault="00EB538B" w:rsidP="008941D4">
      <w:pPr>
        <w:pStyle w:val="ListParagraph"/>
        <w:numPr>
          <w:ilvl w:val="0"/>
          <w:numId w:val="13"/>
        </w:numPr>
        <w:ind w:left="993" w:hanging="284"/>
        <w:jc w:val="both"/>
        <w:rPr>
          <w:sz w:val="20"/>
        </w:rPr>
      </w:pPr>
      <w:r>
        <w:rPr>
          <w:rFonts w:eastAsia="Times New Roman"/>
          <w:sz w:val="20"/>
          <w:szCs w:val="20"/>
          <w:lang w:val="pt-PT"/>
        </w:rPr>
        <w:t xml:space="preserve">Produtos Fluke Calibration, conforme listados em </w:t>
      </w:r>
      <w:hyperlink r:id="rId17" w:history="1">
        <w:r w:rsidR="00E17D5D" w:rsidRPr="00A05288">
          <w:rPr>
            <w:rStyle w:val="Hyperlink"/>
            <w:rFonts w:eastAsia="Times New Roman"/>
            <w:sz w:val="20"/>
            <w:szCs w:val="20"/>
            <w:lang w:val="pt-PT"/>
          </w:rPr>
          <w:t>https://eu.flukecal.com/products</w:t>
        </w:r>
      </w:hyperlink>
      <w:r w:rsidR="00E17D5D">
        <w:rPr>
          <w:rFonts w:eastAsia="Times New Roman"/>
          <w:sz w:val="20"/>
          <w:szCs w:val="20"/>
          <w:lang w:val="pt-PT"/>
        </w:rPr>
        <w:t xml:space="preserve"> </w:t>
      </w:r>
      <w:r>
        <w:rPr>
          <w:rFonts w:eastAsia="Times New Roman"/>
          <w:sz w:val="20"/>
          <w:szCs w:val="20"/>
          <w:lang w:val="pt-PT"/>
        </w:rPr>
        <w:t xml:space="preserve"> (exceto Planos de assistência e de calibração); e </w:t>
      </w:r>
    </w:p>
    <w:p w14:paraId="4466478E" w14:textId="3AD4D6DD" w:rsidR="006045CF" w:rsidRPr="006045CF" w:rsidRDefault="00EB538B" w:rsidP="008941D4">
      <w:pPr>
        <w:pStyle w:val="ListParagraph"/>
        <w:numPr>
          <w:ilvl w:val="0"/>
          <w:numId w:val="13"/>
        </w:numPr>
        <w:ind w:left="993" w:hanging="284"/>
        <w:jc w:val="both"/>
        <w:rPr>
          <w:sz w:val="20"/>
        </w:rPr>
      </w:pPr>
      <w:r>
        <w:rPr>
          <w:rFonts w:eastAsia="Times New Roman"/>
          <w:sz w:val="20"/>
          <w:szCs w:val="20"/>
          <w:lang w:val="pt-PT"/>
        </w:rPr>
        <w:t xml:space="preserve">Produtos Fluke Networks, conforme listados em </w:t>
      </w:r>
      <w:hyperlink r:id="rId18" w:history="1">
        <w:r w:rsidR="00E17D5D" w:rsidRPr="00A05288">
          <w:rPr>
            <w:rStyle w:val="Hyperlink"/>
            <w:rFonts w:eastAsia="Times New Roman"/>
            <w:sz w:val="20"/>
            <w:szCs w:val="20"/>
            <w:lang w:val="pt-PT"/>
          </w:rPr>
          <w:t>www.flukenetworks.com</w:t>
        </w:r>
      </w:hyperlink>
      <w:r w:rsidR="00E17D5D">
        <w:rPr>
          <w:rFonts w:eastAsia="Times New Roman"/>
          <w:sz w:val="20"/>
          <w:szCs w:val="20"/>
          <w:lang w:val="pt-PT"/>
        </w:rPr>
        <w:t xml:space="preserve"> </w:t>
      </w:r>
      <w:r>
        <w:rPr>
          <w:rFonts w:eastAsia="Times New Roman"/>
          <w:sz w:val="20"/>
          <w:szCs w:val="20"/>
          <w:lang w:val="pt-PT"/>
        </w:rPr>
        <w:t>;</w:t>
      </w:r>
    </w:p>
    <w:p w14:paraId="22D3EF59" w14:textId="238A4569" w:rsidR="006045CF" w:rsidRPr="006045CF" w:rsidRDefault="00EB538B" w:rsidP="008941D4">
      <w:pPr>
        <w:pStyle w:val="ListParagraph"/>
        <w:numPr>
          <w:ilvl w:val="0"/>
          <w:numId w:val="13"/>
        </w:numPr>
        <w:ind w:left="993" w:hanging="284"/>
        <w:jc w:val="both"/>
        <w:rPr>
          <w:sz w:val="20"/>
        </w:rPr>
      </w:pPr>
      <w:r>
        <w:rPr>
          <w:rFonts w:eastAsia="Times New Roman"/>
          <w:sz w:val="20"/>
          <w:szCs w:val="20"/>
          <w:lang w:val="pt-PT"/>
        </w:rPr>
        <w:t xml:space="preserve">Produtos Beha Amprobe, conforme listados em </w:t>
      </w:r>
      <w:hyperlink r:id="rId19" w:history="1">
        <w:r w:rsidR="00E17D5D" w:rsidRPr="00A05288">
          <w:rPr>
            <w:rStyle w:val="Hyperlink"/>
            <w:rFonts w:eastAsia="Times New Roman"/>
            <w:sz w:val="20"/>
            <w:szCs w:val="20"/>
            <w:lang w:val="pt-PT"/>
          </w:rPr>
          <w:t>www.beha-amprobe.com</w:t>
        </w:r>
      </w:hyperlink>
      <w:r w:rsidR="00E17D5D">
        <w:rPr>
          <w:rFonts w:eastAsia="Times New Roman"/>
          <w:sz w:val="20"/>
          <w:szCs w:val="20"/>
          <w:lang w:val="pt-PT"/>
        </w:rPr>
        <w:t xml:space="preserve"> </w:t>
      </w:r>
    </w:p>
    <w:p w14:paraId="7BF94599" w14:textId="77777777" w:rsidR="008941D4" w:rsidRDefault="008941D4" w:rsidP="006045CF">
      <w:pPr>
        <w:pStyle w:val="ListParagraph"/>
        <w:jc w:val="both"/>
        <w:rPr>
          <w:sz w:val="20"/>
        </w:rPr>
      </w:pPr>
    </w:p>
    <w:p w14:paraId="484C70E7" w14:textId="3A67CF7A" w:rsidR="000B2D6B" w:rsidRDefault="00EB538B" w:rsidP="006045CF">
      <w:pPr>
        <w:pStyle w:val="ListParagraph"/>
        <w:jc w:val="both"/>
        <w:rPr>
          <w:sz w:val="20"/>
        </w:rPr>
      </w:pPr>
      <w:r>
        <w:rPr>
          <w:rFonts w:eastAsia="Times New Roman"/>
          <w:sz w:val="20"/>
          <w:szCs w:val="20"/>
          <w:lang w:val="pt-PT"/>
        </w:rPr>
        <w:t>A lista acima exclui todos os outros produtos Fluke e marcas relacionadas, incluindo, entre outros, Fluke Biomedical, Fluke Reliability Systems, Pomona, Comark, Irisys, software eMaint e Pacific Laser Systems.</w:t>
      </w:r>
    </w:p>
    <w:p w14:paraId="204EDC7E" w14:textId="77777777" w:rsidR="002A45D9" w:rsidRDefault="002A45D9" w:rsidP="006045CF">
      <w:pPr>
        <w:pStyle w:val="ListParagraph"/>
        <w:jc w:val="both"/>
        <w:rPr>
          <w:sz w:val="20"/>
        </w:rPr>
      </w:pPr>
    </w:p>
    <w:p w14:paraId="24E5917C" w14:textId="66EC3BD7" w:rsidR="002A45D9" w:rsidRPr="00332FA4" w:rsidRDefault="00EB538B" w:rsidP="006045CF">
      <w:pPr>
        <w:pStyle w:val="ListParagraph"/>
        <w:jc w:val="both"/>
        <w:rPr>
          <w:sz w:val="20"/>
        </w:rPr>
      </w:pPr>
      <w:r>
        <w:rPr>
          <w:rFonts w:eastAsia="Times New Roman"/>
          <w:sz w:val="20"/>
          <w:szCs w:val="20"/>
          <w:lang w:val="pt-PT"/>
        </w:rPr>
        <w:t>Os clientes elegíveis podem reclamar uma (1) Oferta à sua escolha, correspondente ao nível do preço pago pelo cliente no momento da compra dos Produtos Fluke durante o Período do programa (excluindo IVA e outros impostos sobre vendas, envio/processamento e outras taxas), entre as opções fornecidas abaixo. Quando as faturas tiverem outros produtos listados, além dos Produtos elegíveis, apenas serão considerados os montantes relativos aos Produtos elegíveis nessas faturas para a avaliação das categorias de Oferta conforme indicado abaixo.</w:t>
      </w:r>
    </w:p>
    <w:p w14:paraId="2CCD8593" w14:textId="4B88CF07" w:rsidR="000C4619" w:rsidRDefault="000C4619" w:rsidP="00177E84">
      <w:pPr>
        <w:pStyle w:val="ListParagraph"/>
        <w:jc w:val="both"/>
        <w:rPr>
          <w:sz w:val="20"/>
        </w:rPr>
      </w:pPr>
    </w:p>
    <w:p w14:paraId="6E97CF76" w14:textId="00274604" w:rsidR="00E17D5D" w:rsidRDefault="00E17D5D" w:rsidP="00177E84">
      <w:pPr>
        <w:pStyle w:val="ListParagraph"/>
        <w:jc w:val="both"/>
        <w:rPr>
          <w:sz w:val="20"/>
        </w:rPr>
      </w:pPr>
      <w:r>
        <w:rPr>
          <w:noProof/>
        </w:rPr>
        <w:drawing>
          <wp:inline distT="0" distB="0" distL="0" distR="0" wp14:anchorId="7DB5B049" wp14:editId="7D5F0B09">
            <wp:extent cx="5519319" cy="3619400"/>
            <wp:effectExtent l="0" t="0" r="5715" b="635"/>
            <wp:docPr id="28864577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645772" name="Picture 1" descr="A screenshot of a computer&#10;&#10;Description automatically generated"/>
                    <pic:cNvPicPr/>
                  </pic:nvPicPr>
                  <pic:blipFill>
                    <a:blip r:embed="rId20"/>
                    <a:stretch>
                      <a:fillRect/>
                    </a:stretch>
                  </pic:blipFill>
                  <pic:spPr>
                    <a:xfrm>
                      <a:off x="0" y="0"/>
                      <a:ext cx="5523335" cy="3622033"/>
                    </a:xfrm>
                    <a:prstGeom prst="rect">
                      <a:avLst/>
                    </a:prstGeom>
                  </pic:spPr>
                </pic:pic>
              </a:graphicData>
            </a:graphic>
          </wp:inline>
        </w:drawing>
      </w:r>
    </w:p>
    <w:p w14:paraId="6B2CA299" w14:textId="4237460B" w:rsidR="00EB538B" w:rsidRDefault="00EB538B" w:rsidP="00EB538B">
      <w:pPr>
        <w:pStyle w:val="ListParagraph"/>
        <w:jc w:val="both"/>
        <w:rPr>
          <w:sz w:val="20"/>
        </w:rPr>
      </w:pPr>
    </w:p>
    <w:p w14:paraId="386A4FDE" w14:textId="77777777" w:rsidR="008F2A3A" w:rsidRPr="000A57BD" w:rsidRDefault="008F2A3A" w:rsidP="00177E84">
      <w:pPr>
        <w:pStyle w:val="ListParagraph"/>
        <w:jc w:val="both"/>
        <w:rPr>
          <w:sz w:val="20"/>
        </w:rPr>
      </w:pPr>
    </w:p>
    <w:p w14:paraId="2B2FDD51" w14:textId="17D4429F" w:rsidR="000A4866" w:rsidRPr="006D63B1" w:rsidRDefault="00EB538B" w:rsidP="00F805DE">
      <w:pPr>
        <w:pStyle w:val="ListParagraph"/>
        <w:numPr>
          <w:ilvl w:val="1"/>
          <w:numId w:val="14"/>
        </w:numPr>
        <w:jc w:val="both"/>
        <w:rPr>
          <w:sz w:val="20"/>
        </w:rPr>
      </w:pPr>
      <w:r>
        <w:rPr>
          <w:rFonts w:eastAsia="Times New Roman"/>
          <w:sz w:val="20"/>
          <w:szCs w:val="20"/>
          <w:lang w:val="pt-PT"/>
        </w:rPr>
        <w:t xml:space="preserve">Registe um pedido através do formulário de registo online da Promoção </w:t>
      </w:r>
      <w:r w:rsidRPr="00E17D5D">
        <w:rPr>
          <w:rFonts w:eastAsia="Times New Roman"/>
          <w:sz w:val="20"/>
          <w:szCs w:val="20"/>
          <w:lang w:val="pt-PT"/>
        </w:rPr>
        <w:t xml:space="preserve">em </w:t>
      </w:r>
      <w:hyperlink r:id="rId21" w:history="1">
        <w:r w:rsidR="00E17D5D" w:rsidRPr="00E17D5D">
          <w:rPr>
            <w:rStyle w:val="Hyperlink"/>
            <w:rFonts w:eastAsia="Times New Roman"/>
            <w:sz w:val="20"/>
            <w:szCs w:val="20"/>
            <w:lang w:val="pt-PT"/>
          </w:rPr>
          <w:t>www.fluke.pt/freefluke</w:t>
        </w:r>
      </w:hyperlink>
      <w:r>
        <w:rPr>
          <w:rFonts w:eastAsia="Times New Roman"/>
          <w:sz w:val="20"/>
          <w:szCs w:val="20"/>
          <w:lang w:val="pt-PT"/>
        </w:rPr>
        <w:t>. O formulário da Promoção tem de ser totalmente preenchido e enviado juntamente com uma digitalização clara e legível da fatura com, pelo menos, uma (1) Compra elegível comprada durante o Período do programa, como prova de compra. Os recibos de entrega ou notas/confirmações de encomendas não são aceitáveis como comprovativo de compra. As faturas com data de emissão não abrangida no Período do programa não são válidas e não serão consideradas. Além da prova de compra, será necessária a morada do cliente para obter a Oferta.</w:t>
      </w:r>
    </w:p>
    <w:p w14:paraId="4BAE8F34" w14:textId="77777777" w:rsidR="00455ABE" w:rsidRPr="00B929C2" w:rsidRDefault="00455ABE" w:rsidP="00464ABC">
      <w:pPr>
        <w:pStyle w:val="ListParagraph"/>
        <w:jc w:val="both"/>
        <w:rPr>
          <w:sz w:val="20"/>
        </w:rPr>
      </w:pPr>
    </w:p>
    <w:p w14:paraId="323451E1" w14:textId="194C9050" w:rsidR="004B7015" w:rsidRPr="00464ABC" w:rsidRDefault="00EB538B" w:rsidP="00F805DE">
      <w:pPr>
        <w:pStyle w:val="ListParagraph"/>
        <w:numPr>
          <w:ilvl w:val="1"/>
          <w:numId w:val="14"/>
        </w:numPr>
        <w:jc w:val="both"/>
        <w:rPr>
          <w:sz w:val="20"/>
        </w:rPr>
      </w:pPr>
      <w:r>
        <w:rPr>
          <w:rFonts w:eastAsia="Times New Roman"/>
          <w:sz w:val="20"/>
          <w:szCs w:val="20"/>
          <w:lang w:val="pt-PT"/>
        </w:rPr>
        <w:t>Os clientes terão de selecionar a sua escolha da Oferta no formulário de registo online, com base no nível do montante correspondente ao montante da sua fatura.</w:t>
      </w:r>
    </w:p>
    <w:p w14:paraId="1F6DBF72" w14:textId="77777777" w:rsidR="00346B02" w:rsidRPr="00464ABC" w:rsidRDefault="00346B02" w:rsidP="00464ABC">
      <w:pPr>
        <w:pStyle w:val="ListParagraph"/>
        <w:jc w:val="both"/>
        <w:rPr>
          <w:sz w:val="20"/>
        </w:rPr>
      </w:pPr>
    </w:p>
    <w:p w14:paraId="7F9E017D" w14:textId="6F36ABE7" w:rsidR="00A741E1" w:rsidRPr="004B7015" w:rsidRDefault="00EB538B" w:rsidP="00F805DE">
      <w:pPr>
        <w:pStyle w:val="ListParagraph"/>
        <w:numPr>
          <w:ilvl w:val="1"/>
          <w:numId w:val="14"/>
        </w:numPr>
        <w:jc w:val="both"/>
        <w:rPr>
          <w:kern w:val="2"/>
          <w:sz w:val="20"/>
        </w:rPr>
      </w:pPr>
      <w:r>
        <w:rPr>
          <w:rFonts w:eastAsia="Times New Roman"/>
          <w:kern w:val="2"/>
          <w:sz w:val="20"/>
          <w:szCs w:val="20"/>
          <w:lang w:val="pt-PT"/>
        </w:rPr>
        <w:t>Tenha em atenção que as faturas não podem ser agregadas nem podem ser utilizadas mais do que uma vez. Quando as faturas tiverem outros produtos listados, além da(s) Compra(s) elegível(eis), apenas serão considerados os montantes relativos às Compras elegíveis nessas faturas para a avaliação da elegibilidade para a Oferta.</w:t>
      </w:r>
    </w:p>
    <w:p w14:paraId="6ED58CD9" w14:textId="77777777" w:rsidR="000A4866" w:rsidRPr="006D63B1" w:rsidRDefault="000A4866" w:rsidP="000A4866">
      <w:pPr>
        <w:pStyle w:val="ListParagraph"/>
        <w:rPr>
          <w:rFonts w:cstheme="minorHAnsi"/>
          <w:sz w:val="20"/>
          <w:szCs w:val="18"/>
        </w:rPr>
      </w:pPr>
    </w:p>
    <w:p w14:paraId="51124518" w14:textId="00AC8389" w:rsidR="00F5105E" w:rsidRPr="006D63B1" w:rsidRDefault="00EB538B" w:rsidP="00F805DE">
      <w:pPr>
        <w:pStyle w:val="ListParagraph"/>
        <w:numPr>
          <w:ilvl w:val="1"/>
          <w:numId w:val="14"/>
        </w:numPr>
        <w:jc w:val="both"/>
        <w:rPr>
          <w:sz w:val="20"/>
        </w:rPr>
      </w:pPr>
      <w:r>
        <w:rPr>
          <w:rFonts w:eastAsia="Times New Roman" w:cs="Calibri"/>
          <w:sz w:val="20"/>
          <w:szCs w:val="20"/>
          <w:lang w:val="pt-PT"/>
        </w:rPr>
        <w:t xml:space="preserve">O Patrocinador irá aceitar pedidos válidos até </w:t>
      </w:r>
      <w:r>
        <w:rPr>
          <w:rFonts w:eastAsia="Times New Roman" w:cs="Calibri"/>
          <w:b/>
          <w:bCs/>
          <w:sz w:val="20"/>
          <w:szCs w:val="20"/>
          <w:lang w:val="pt-PT"/>
        </w:rPr>
        <w:t>30 de setembro de 2024</w:t>
      </w:r>
      <w:r>
        <w:rPr>
          <w:rFonts w:eastAsia="Times New Roman" w:cs="Calibri"/>
          <w:sz w:val="20"/>
          <w:szCs w:val="20"/>
          <w:lang w:val="pt-PT"/>
        </w:rPr>
        <w:t xml:space="preserve"> (</w:t>
      </w:r>
      <w:r>
        <w:rPr>
          <w:rFonts w:eastAsia="Times New Roman"/>
          <w:sz w:val="20"/>
          <w:szCs w:val="20"/>
          <w:lang w:val="pt-PT"/>
        </w:rPr>
        <w:t>“</w:t>
      </w:r>
      <w:r>
        <w:rPr>
          <w:rFonts w:eastAsia="Times New Roman" w:cs="Calibri"/>
          <w:b/>
          <w:bCs/>
          <w:sz w:val="20"/>
          <w:szCs w:val="20"/>
          <w:lang w:val="pt-PT"/>
        </w:rPr>
        <w:t>Prazo para pedidos</w:t>
      </w:r>
      <w:r>
        <w:rPr>
          <w:rFonts w:eastAsia="Times New Roman"/>
          <w:sz w:val="20"/>
          <w:szCs w:val="20"/>
          <w:lang w:val="pt-PT"/>
        </w:rPr>
        <w:t>”</w:t>
      </w:r>
      <w:r>
        <w:rPr>
          <w:rFonts w:eastAsia="Times New Roman" w:cs="Calibri"/>
          <w:sz w:val="20"/>
          <w:szCs w:val="20"/>
          <w:lang w:val="pt-PT"/>
        </w:rPr>
        <w:t xml:space="preserve">).  Os pedidos recebidos após esta data serão rejeitados como inválidos. </w:t>
      </w:r>
    </w:p>
    <w:p w14:paraId="2AA3E8DF" w14:textId="77777777" w:rsidR="000A4866" w:rsidRPr="006D63B1" w:rsidRDefault="000A4866" w:rsidP="000A4866">
      <w:pPr>
        <w:pStyle w:val="ListParagraph"/>
        <w:jc w:val="both"/>
        <w:rPr>
          <w:sz w:val="20"/>
          <w:szCs w:val="20"/>
        </w:rPr>
      </w:pPr>
    </w:p>
    <w:p w14:paraId="2AFAE8D2" w14:textId="68516D3E" w:rsidR="00F5105E" w:rsidRPr="006D63B1" w:rsidRDefault="00EB538B" w:rsidP="00F805DE">
      <w:pPr>
        <w:pStyle w:val="ListParagraph"/>
        <w:numPr>
          <w:ilvl w:val="1"/>
          <w:numId w:val="14"/>
        </w:numPr>
        <w:jc w:val="both"/>
        <w:rPr>
          <w:sz w:val="20"/>
          <w:szCs w:val="20"/>
        </w:rPr>
      </w:pPr>
      <w:r>
        <w:rPr>
          <w:rFonts w:eastAsia="Times New Roman"/>
          <w:sz w:val="20"/>
          <w:szCs w:val="20"/>
          <w:lang w:val="pt-PT"/>
        </w:rPr>
        <w:t>O Patrocinador</w:t>
      </w:r>
      <w:r>
        <w:rPr>
          <w:rFonts w:eastAsia="Times New Roman" w:cs="Calibri"/>
          <w:sz w:val="20"/>
          <w:szCs w:val="20"/>
          <w:lang w:val="pt-PT"/>
        </w:rPr>
        <w:t xml:space="preserve"> </w:t>
      </w:r>
      <w:r>
        <w:rPr>
          <w:rFonts w:eastAsia="Times New Roman"/>
          <w:sz w:val="20"/>
          <w:szCs w:val="20"/>
          <w:lang w:val="pt-PT"/>
        </w:rPr>
        <w:t xml:space="preserve">ou os respetivos agentes </w:t>
      </w:r>
      <w:r>
        <w:rPr>
          <w:rFonts w:eastAsia="Times New Roman" w:cs="Calibri"/>
          <w:sz w:val="20"/>
          <w:szCs w:val="20"/>
          <w:lang w:val="pt-PT"/>
        </w:rPr>
        <w:t xml:space="preserve">devem verificar os pedidos enviados </w:t>
      </w:r>
      <w:r>
        <w:rPr>
          <w:rFonts w:eastAsia="Times New Roman"/>
          <w:sz w:val="20"/>
          <w:szCs w:val="20"/>
          <w:lang w:val="pt-PT"/>
        </w:rPr>
        <w:t xml:space="preserve">juntamente com as </w:t>
      </w:r>
      <w:r>
        <w:rPr>
          <w:rFonts w:eastAsia="Times New Roman" w:cs="Calibri"/>
          <w:sz w:val="20"/>
          <w:szCs w:val="20"/>
          <w:lang w:val="pt-PT"/>
        </w:rPr>
        <w:t>digitalizações das faturas fornecidas. Em caso de discrepâncias no formulário, o Patrocinador terá, a seu critério, o direito de determinar a elegibilidade do cliente para receber a Oferta. Se o Patrocinador determinar que o pedido do cliente não cumpre estes termos e condições ou de outra forma não é elegível, o cliente será informado em conformidade.</w:t>
      </w:r>
    </w:p>
    <w:p w14:paraId="372FE9BB" w14:textId="77777777" w:rsidR="000A4866" w:rsidRPr="006D63B1" w:rsidRDefault="000A4866" w:rsidP="000A4866">
      <w:pPr>
        <w:pStyle w:val="ListParagraph"/>
        <w:jc w:val="both"/>
        <w:rPr>
          <w:sz w:val="20"/>
          <w:szCs w:val="20"/>
        </w:rPr>
      </w:pPr>
    </w:p>
    <w:p w14:paraId="54701A51" w14:textId="4228A2BA" w:rsidR="00F5105E" w:rsidRPr="006D63B1" w:rsidRDefault="00EB538B" w:rsidP="00F805DE">
      <w:pPr>
        <w:pStyle w:val="ListParagraph"/>
        <w:numPr>
          <w:ilvl w:val="1"/>
          <w:numId w:val="14"/>
        </w:numPr>
        <w:jc w:val="both"/>
        <w:rPr>
          <w:sz w:val="20"/>
          <w:szCs w:val="20"/>
        </w:rPr>
      </w:pPr>
      <w:r>
        <w:rPr>
          <w:rFonts w:eastAsia="Times New Roman" w:cs="Calibri"/>
          <w:sz w:val="20"/>
          <w:szCs w:val="20"/>
          <w:lang w:val="pt-PT"/>
        </w:rPr>
        <w:t xml:space="preserve">O Patrocinador ou os respetivos representantes deverão enviar a Oferta para a morada </w:t>
      </w:r>
      <w:r>
        <w:rPr>
          <w:rFonts w:eastAsia="Times New Roman"/>
          <w:sz w:val="20"/>
          <w:szCs w:val="20"/>
          <w:lang w:val="pt-PT"/>
        </w:rPr>
        <w:t>fornecida</w:t>
      </w:r>
      <w:r>
        <w:rPr>
          <w:rFonts w:eastAsia="Times New Roman" w:cs="Calibri"/>
          <w:sz w:val="20"/>
          <w:szCs w:val="20"/>
          <w:lang w:val="pt-PT"/>
        </w:rPr>
        <w:t xml:space="preserve"> pelo cliente até </w:t>
      </w:r>
      <w:r>
        <w:rPr>
          <w:rFonts w:eastAsia="Times New Roman"/>
          <w:sz w:val="20"/>
          <w:szCs w:val="20"/>
          <w:lang w:val="pt-PT"/>
        </w:rPr>
        <w:t>30</w:t>
      </w:r>
      <w:r>
        <w:rPr>
          <w:rFonts w:eastAsia="Times New Roman" w:cs="Calibri"/>
          <w:sz w:val="20"/>
          <w:szCs w:val="20"/>
          <w:lang w:val="pt-PT"/>
        </w:rPr>
        <w:t xml:space="preserve"> dias após o Prazo para pedidos.</w:t>
      </w:r>
    </w:p>
    <w:p w14:paraId="06732B85" w14:textId="77777777" w:rsidR="000A4866" w:rsidRPr="006D63B1" w:rsidRDefault="000A4866" w:rsidP="000A4866">
      <w:pPr>
        <w:pStyle w:val="ListParagraph"/>
        <w:jc w:val="both"/>
        <w:rPr>
          <w:sz w:val="20"/>
          <w:szCs w:val="20"/>
        </w:rPr>
      </w:pPr>
    </w:p>
    <w:p w14:paraId="3482C733" w14:textId="0CEA94E9" w:rsidR="00F5105E" w:rsidRPr="006D63B1" w:rsidRDefault="00EB538B" w:rsidP="00F805DE">
      <w:pPr>
        <w:pStyle w:val="ListParagraph"/>
        <w:numPr>
          <w:ilvl w:val="1"/>
          <w:numId w:val="14"/>
        </w:numPr>
        <w:jc w:val="both"/>
        <w:rPr>
          <w:sz w:val="20"/>
          <w:szCs w:val="20"/>
        </w:rPr>
      </w:pPr>
      <w:r>
        <w:rPr>
          <w:rFonts w:eastAsia="Times New Roman" w:cs="Calibri"/>
          <w:sz w:val="20"/>
          <w:szCs w:val="20"/>
          <w:lang w:val="pt-PT"/>
        </w:rPr>
        <w:t xml:space="preserve">Em </w:t>
      </w:r>
      <w:r>
        <w:rPr>
          <w:rFonts w:eastAsia="Times New Roman"/>
          <w:sz w:val="20"/>
          <w:szCs w:val="20"/>
          <w:lang w:val="pt-PT"/>
        </w:rPr>
        <w:t>caso</w:t>
      </w:r>
      <w:r>
        <w:rPr>
          <w:rFonts w:eastAsia="Times New Roman" w:cs="Calibri"/>
          <w:sz w:val="20"/>
          <w:szCs w:val="20"/>
          <w:lang w:val="pt-PT"/>
        </w:rPr>
        <w:t xml:space="preserve"> de não receção da </w:t>
      </w:r>
      <w:r>
        <w:rPr>
          <w:rFonts w:eastAsia="Times New Roman"/>
          <w:sz w:val="20"/>
          <w:szCs w:val="20"/>
          <w:lang w:val="pt-PT"/>
        </w:rPr>
        <w:t>Oferta</w:t>
      </w:r>
      <w:r>
        <w:rPr>
          <w:rFonts w:eastAsia="Times New Roman" w:cs="Calibri"/>
          <w:sz w:val="20"/>
          <w:szCs w:val="20"/>
          <w:lang w:val="pt-PT"/>
        </w:rPr>
        <w:t xml:space="preserve">, o cliente deverá informar o Patrocinador o mais cedo possível, mas nunca após </w:t>
      </w:r>
      <w:r>
        <w:rPr>
          <w:rFonts w:eastAsia="Times New Roman" w:cs="Calibri"/>
          <w:b/>
          <w:bCs/>
          <w:sz w:val="20"/>
          <w:szCs w:val="20"/>
          <w:lang w:val="pt-PT"/>
        </w:rPr>
        <w:t>31 de outubro de 2024</w:t>
      </w:r>
      <w:r>
        <w:rPr>
          <w:rFonts w:eastAsia="Times New Roman" w:cs="Calibri"/>
          <w:sz w:val="20"/>
          <w:szCs w:val="20"/>
          <w:lang w:val="pt-PT"/>
        </w:rPr>
        <w:t>. As reclamações de não receção recebidas após essa data serão resolvidas apenas a critério do Patrocinador.</w:t>
      </w:r>
    </w:p>
    <w:p w14:paraId="03270FB4" w14:textId="77777777" w:rsidR="006D63B1" w:rsidRPr="006D63B1" w:rsidRDefault="006D63B1" w:rsidP="006D63B1">
      <w:pPr>
        <w:pStyle w:val="ListParagraph"/>
        <w:rPr>
          <w:sz w:val="20"/>
          <w:szCs w:val="20"/>
        </w:rPr>
      </w:pPr>
    </w:p>
    <w:p w14:paraId="1782774A" w14:textId="0BD5E68B" w:rsidR="006D63B1" w:rsidRPr="006D63B1" w:rsidRDefault="00EB538B" w:rsidP="006D63B1">
      <w:pPr>
        <w:pStyle w:val="ListParagraph"/>
        <w:ind w:left="284"/>
        <w:jc w:val="both"/>
        <w:rPr>
          <w:sz w:val="20"/>
          <w:szCs w:val="20"/>
        </w:rPr>
      </w:pPr>
      <w:r>
        <w:rPr>
          <w:rFonts w:eastAsia="Times New Roman"/>
          <w:sz w:val="20"/>
          <w:szCs w:val="20"/>
          <w:lang w:val="pt-PT"/>
        </w:rPr>
        <w:t>As Ofertas têm de ser enviadas para o endereço físico de um cliente.  As Ofertas não podem ser enviadas para caixas postais, empresas de reenvio ou distribuidores.  Os pedidos de Ofertas estão sujeitos a auditoria adicional a critério exclusivo do Patrocinador, e se o Patrocinador identificar uma fraude ou qualquer falha na conformidade com estes termos e condições, o Patrocinador, a critério próprio, pode anular esse pedido de oferta, situação na qual o pedido não será honrado.  O Patrocinador pode exigir que os clientes forneçam um comprovativo de compra adicional, incluindo, entre outros, códigos físicos de transportadora da embalagem, números de série do produto ou comprovativo de entrega.</w:t>
      </w:r>
    </w:p>
    <w:p w14:paraId="3A72A1FA" w14:textId="77777777" w:rsidR="00AE1F95" w:rsidRPr="006D63B1" w:rsidRDefault="00AE1F95" w:rsidP="000A4866">
      <w:pPr>
        <w:pStyle w:val="OutlineL2"/>
        <w:numPr>
          <w:ilvl w:val="0"/>
          <w:numId w:val="0"/>
        </w:numPr>
        <w:ind w:left="270"/>
        <w:contextualSpacing/>
        <w:rPr>
          <w:rFonts w:ascii="Times New Roman" w:hAnsi="Times New Roman"/>
          <w:color w:val="auto"/>
          <w:sz w:val="20"/>
        </w:rPr>
      </w:pPr>
    </w:p>
    <w:p w14:paraId="1A2B5DCC" w14:textId="4CE9D3AC" w:rsidR="00227B20" w:rsidRPr="007D4F4E" w:rsidRDefault="00EB538B" w:rsidP="006D63B1">
      <w:pPr>
        <w:pStyle w:val="BodyText"/>
        <w:spacing w:after="0"/>
        <w:ind w:left="284"/>
        <w:jc w:val="both"/>
        <w:rPr>
          <w:rFonts w:ascii="Times New Roman" w:hAnsi="Times New Roman"/>
          <w:sz w:val="20"/>
        </w:rPr>
      </w:pPr>
      <w:r>
        <w:rPr>
          <w:rFonts w:ascii="Times New Roman" w:eastAsia="Times New Roman" w:hAnsi="Times New Roman"/>
          <w:bCs/>
          <w:sz w:val="20"/>
          <w:szCs w:val="20"/>
          <w:lang w:val="pt-PT"/>
        </w:rPr>
        <w:t>A Oferta será enviada separadamente da Compra elegível. A Compra elegível será enviada pelo distribuidor autorizado a quem foi comprada.</w:t>
      </w:r>
    </w:p>
    <w:p w14:paraId="3B68E56B" w14:textId="77777777" w:rsidR="00080806" w:rsidRDefault="00080806" w:rsidP="006D63B1">
      <w:pPr>
        <w:pStyle w:val="BodyText"/>
        <w:spacing w:after="0"/>
        <w:ind w:left="284"/>
        <w:jc w:val="both"/>
        <w:rPr>
          <w:rFonts w:ascii="Times New Roman" w:hAnsi="Times New Roman"/>
          <w:bCs/>
          <w:sz w:val="20"/>
          <w:szCs w:val="20"/>
        </w:rPr>
      </w:pPr>
    </w:p>
    <w:p w14:paraId="009F1A76" w14:textId="4D0D7B13" w:rsidR="00080806" w:rsidRPr="006D63B1" w:rsidRDefault="00EB538B" w:rsidP="006D63B1">
      <w:pPr>
        <w:pStyle w:val="BodyText"/>
        <w:spacing w:after="0"/>
        <w:ind w:left="284"/>
        <w:jc w:val="both"/>
        <w:rPr>
          <w:rFonts w:ascii="Times New Roman" w:hAnsi="Times New Roman"/>
          <w:sz w:val="20"/>
          <w:szCs w:val="20"/>
        </w:rPr>
      </w:pPr>
      <w:r>
        <w:rPr>
          <w:rFonts w:ascii="Times New Roman" w:eastAsia="Times New Roman" w:hAnsi="Times New Roman"/>
          <w:sz w:val="20"/>
          <w:szCs w:val="20"/>
          <w:lang w:val="pt-PT"/>
        </w:rPr>
        <w:t>Esta Promoção é uma promoção independente e não é válida em conjunto com quaisquer outras promoções, ofertas, descontos ou vouchers. A Oferta não pode ser aplicada a outros serviços ou compras nem combinada com ofertas especiais, promoções ou contratos.</w:t>
      </w:r>
    </w:p>
    <w:p w14:paraId="44E30062" w14:textId="77777777" w:rsidR="00F5105E" w:rsidRDefault="00F5105E" w:rsidP="006D63B1">
      <w:pPr>
        <w:pStyle w:val="BodyText"/>
        <w:spacing w:after="0"/>
        <w:ind w:left="284"/>
        <w:rPr>
          <w:rFonts w:ascii="Times New Roman" w:hAnsi="Times New Roman"/>
          <w:sz w:val="20"/>
          <w:szCs w:val="20"/>
        </w:rPr>
      </w:pPr>
    </w:p>
    <w:p w14:paraId="7C82B14B" w14:textId="5CE26CA8" w:rsidR="00E17D5D" w:rsidRPr="00E17D5D" w:rsidRDefault="00E17D5D" w:rsidP="00E17D5D">
      <w:pPr>
        <w:pStyle w:val="ListParagraph"/>
        <w:numPr>
          <w:ilvl w:val="0"/>
          <w:numId w:val="14"/>
        </w:numPr>
        <w:ind w:left="360"/>
        <w:jc w:val="both"/>
        <w:rPr>
          <w:sz w:val="20"/>
        </w:rPr>
      </w:pPr>
      <w:r w:rsidRPr="00E17D5D">
        <w:rPr>
          <w:rFonts w:eastAsia="Times New Roman"/>
          <w:b/>
          <w:bCs/>
          <w:sz w:val="20"/>
          <w:szCs w:val="20"/>
          <w:lang w:val="pt-PT"/>
        </w:rPr>
        <w:t>Isenção de responsabilidade</w:t>
      </w:r>
      <w:r w:rsidRPr="00E17D5D">
        <w:rPr>
          <w:rFonts w:eastAsia="Times New Roman"/>
          <w:sz w:val="20"/>
          <w:szCs w:val="20"/>
          <w:lang w:val="pt-PT"/>
        </w:rPr>
        <w:t>.  O Patrocinador e cada uma das respetivas empresas-mãe, subsidiárias e afiliadas, e os respetivos diretores, executivos, consultores profissionais, representantes, funcionários e agentes (coletivamente, as “</w:t>
      </w:r>
      <w:r w:rsidRPr="00E17D5D">
        <w:rPr>
          <w:rFonts w:eastAsia="Times New Roman"/>
          <w:b/>
          <w:bCs/>
          <w:i/>
          <w:iCs/>
          <w:sz w:val="20"/>
          <w:szCs w:val="20"/>
          <w:lang w:val="pt-PT"/>
        </w:rPr>
        <w:t>Partes exoneradas</w:t>
      </w:r>
      <w:r w:rsidRPr="00E17D5D">
        <w:rPr>
          <w:rFonts w:eastAsia="Times New Roman"/>
          <w:sz w:val="20"/>
          <w:szCs w:val="20"/>
          <w:lang w:val="pt-PT"/>
        </w:rPr>
        <w:t xml:space="preserve">”) não serão responsáveis por: (a) quaisquer transmissões ou pedidos de compra tardios, perdidos, mal direcionados, falsificados ou danificados distorcidos; (b) avarias ou falhas relacionadas com telefone, componentes eletrónicos, hardware, software, rede, Internet ou outras a nível informático ou comunicações para além do controlo razoável do Patrocinador ou das Partes exoneradas; (c) quaisquer perturbações, lesões, perdas ou danos decorrentes da Promoção causados por acontecimentos para além </w:t>
      </w:r>
      <w:r w:rsidRPr="00E17D5D">
        <w:rPr>
          <w:rFonts w:eastAsia="Times New Roman"/>
          <w:sz w:val="20"/>
          <w:szCs w:val="20"/>
          <w:lang w:val="pt-PT"/>
        </w:rPr>
        <w:lastRenderedPageBreak/>
        <w:t>do controlo razoável do Patrocinador ou por intervenção humana não autorizada; ou (d) quaisquer erros de impressão ou tipográficos em quaisquer materiais associados à Promoção.</w:t>
      </w:r>
    </w:p>
    <w:p w14:paraId="3CD889C6" w14:textId="77777777" w:rsidR="00E17D5D" w:rsidRPr="006D63B1" w:rsidRDefault="00E17D5D" w:rsidP="00E17D5D">
      <w:pPr>
        <w:pStyle w:val="BodyText"/>
        <w:spacing w:after="0"/>
        <w:ind w:left="270"/>
        <w:rPr>
          <w:rFonts w:ascii="Times New Roman" w:hAnsi="Times New Roman"/>
          <w:sz w:val="20"/>
          <w:szCs w:val="20"/>
        </w:rPr>
      </w:pPr>
    </w:p>
    <w:p w14:paraId="5A2A50C3" w14:textId="77777777" w:rsidR="00E17D5D" w:rsidRPr="006D63B1" w:rsidRDefault="00E17D5D" w:rsidP="00E17D5D">
      <w:pPr>
        <w:pStyle w:val="ListParagraph"/>
        <w:numPr>
          <w:ilvl w:val="0"/>
          <w:numId w:val="14"/>
        </w:numPr>
        <w:ind w:left="284" w:hanging="284"/>
        <w:jc w:val="both"/>
        <w:rPr>
          <w:sz w:val="20"/>
        </w:rPr>
      </w:pPr>
      <w:r>
        <w:rPr>
          <w:rFonts w:eastAsia="Times New Roman"/>
          <w:b/>
          <w:bCs/>
          <w:sz w:val="20"/>
          <w:szCs w:val="20"/>
          <w:lang w:val="pt-PT"/>
        </w:rPr>
        <w:t>Isenção de responsabilidade e indemnização</w:t>
      </w:r>
      <w:r>
        <w:rPr>
          <w:rFonts w:eastAsia="Times New Roman"/>
          <w:sz w:val="20"/>
          <w:szCs w:val="20"/>
          <w:lang w:val="pt-PT"/>
        </w:rPr>
        <w:t xml:space="preserve">. Exceto quando proibido de outra forma por lei, ao participar na Promoção, exonera e concorda em indemnizar e isentar cada Parte exonerada de qualquer responsabilidade, obrigação, lesão, reclamação, processo, ação, custo, despesa, perda ou dano de qualquer tipo, incluindo qualquer responsabilidade fiscal ou perda de oportunidade, de forma direta, indireta, especial ou consequente, que possa ser imposta, incorrida ou invocada contra essa Parte exonerada e que decorra ou se relacione de qualquer forma com esta Promoção ou os incentivos oferecidos ao abrigo do presente documento, incluindo, entre outros, quando decorrente ou relacionado com os seguintes: (a) quaisquer dificuldades técnicas ou avaria do equipamento (sob o controlo do Patrocinador ou não); (b) qualquer entrega incorreta, roubo, acesso não autorizado ou interferência de terceiros; (c) qualquer entrada ou pedido no âmbito da Promoção que esteja atrasado, perdido, alterado, danificado ou mal direcionado (após a sua receção pelo Patrocinador ou não) além do controlo razoável do Patrocinador; (d) quaisquer danos devido à operação dos correios ou serviço de entrega; (e) qualquer responsabilidade fiscal incorrida pelo participante; e (f) utilização ou utilização indevida de qualquer produto com desconto ou oferta com compra (exceto na medida coberta por qualquer garantia de produto aplicável).  </w:t>
      </w:r>
    </w:p>
    <w:p w14:paraId="24692EE5" w14:textId="77777777" w:rsidR="00E17D5D" w:rsidRPr="006D63B1" w:rsidRDefault="00E17D5D" w:rsidP="00E17D5D">
      <w:pPr>
        <w:pStyle w:val="BodyText"/>
        <w:spacing w:after="0"/>
        <w:rPr>
          <w:rFonts w:ascii="Times New Roman" w:hAnsi="Times New Roman"/>
          <w:sz w:val="20"/>
        </w:rPr>
      </w:pPr>
    </w:p>
    <w:p w14:paraId="7238C9CD" w14:textId="77777777" w:rsidR="00E17D5D" w:rsidRPr="006D63B1" w:rsidRDefault="00E17D5D" w:rsidP="00E17D5D">
      <w:pPr>
        <w:pStyle w:val="ListParagraph"/>
        <w:numPr>
          <w:ilvl w:val="0"/>
          <w:numId w:val="14"/>
        </w:numPr>
        <w:ind w:left="284" w:hanging="284"/>
        <w:jc w:val="both"/>
        <w:rPr>
          <w:sz w:val="20"/>
        </w:rPr>
      </w:pPr>
      <w:r>
        <w:rPr>
          <w:rFonts w:eastAsia="Times New Roman"/>
          <w:b/>
          <w:bCs/>
          <w:sz w:val="20"/>
          <w:szCs w:val="20"/>
          <w:lang w:val="pt-PT"/>
        </w:rPr>
        <w:t>Aviso de propriedade intelectual</w:t>
      </w:r>
      <w:r>
        <w:rPr>
          <w:rFonts w:eastAsia="Times New Roman"/>
          <w:sz w:val="20"/>
          <w:szCs w:val="20"/>
          <w:lang w:val="pt-PT"/>
        </w:rPr>
        <w:t>.  A Promoção e todos os materiais que a acompanham, incluindo estes termos e condições, estão protegidos por direitos de autor © 2023 da Fluke Europe B.V. Todos os direitos reservados.</w:t>
      </w:r>
    </w:p>
    <w:p w14:paraId="07A2A9AC" w14:textId="77777777" w:rsidR="00E17D5D" w:rsidRPr="006D63B1" w:rsidRDefault="00E17D5D" w:rsidP="00E17D5D">
      <w:pPr>
        <w:pStyle w:val="BodyText"/>
        <w:spacing w:after="0"/>
        <w:rPr>
          <w:rFonts w:ascii="Times New Roman" w:hAnsi="Times New Roman"/>
          <w:sz w:val="20"/>
        </w:rPr>
      </w:pPr>
    </w:p>
    <w:p w14:paraId="0653EA0E" w14:textId="170FF806" w:rsidR="00E17D5D" w:rsidRPr="00B41A7A" w:rsidRDefault="00E17D5D" w:rsidP="00E17D5D">
      <w:pPr>
        <w:pStyle w:val="ListParagraph"/>
        <w:numPr>
          <w:ilvl w:val="0"/>
          <w:numId w:val="14"/>
        </w:numPr>
        <w:ind w:left="284" w:hanging="284"/>
        <w:jc w:val="both"/>
        <w:rPr>
          <w:sz w:val="20"/>
          <w:lang w:val="pt-PT"/>
        </w:rPr>
      </w:pPr>
      <w:r>
        <w:rPr>
          <w:rFonts w:eastAsia="Times New Roman"/>
          <w:b/>
          <w:bCs/>
          <w:sz w:val="20"/>
          <w:szCs w:val="20"/>
          <w:lang w:val="pt-PT"/>
        </w:rPr>
        <w:t>Diversos</w:t>
      </w:r>
      <w:r>
        <w:rPr>
          <w:rFonts w:eastAsia="Times New Roman"/>
          <w:sz w:val="20"/>
          <w:szCs w:val="20"/>
          <w:lang w:val="pt-PT"/>
        </w:rPr>
        <w:t xml:space="preserve">.  A Promoção e estes termos e condições serão regidos, entendidos e interpretados segundo as leis do país de constituição do Patrocinador sem aplicação de quaisquer conflitos ou opção de disposições legais ao abrigo de tal legislação que possa referir a interpretação ou qualquer termo dos presentes às leis de qualquer outra jurisdição.  Os Clientes que participam nesta Promoção estão vinculados a estes termos e condições e às decisões do Patrocinador, que são finais e vinculativas em todos os aspetos. Estes termos e condições constituem o acordo na íntegra que rege a Promoção e vincula o cliente, e nenhum outro acordo, verbal ou outro, deverá ser vinculativo relativamente à Promoção, exceto se feito por escrito e assinado pelo Patrocinador. Em caso de conflito ou inconsistência entre quaisquer outros documentos relacionados com a Promoção e estes termos e condições, estes termos e condições deverão prevalecer. No limite máximo permitido por lei, nenhuma renúncia de qualquer disposição destes termos e condições será implícita de qualquer curso de negociação entre o cliente e o Patrocinador ou de qualquer falha por parte do cliente ou do Patrocinador de fazer valer os seus direitos ao abrigo do presente em qualquer ocasião ou numa série de ocasiões. Na medida do máximo permitido pela legislação aplicável, o Patrocinador reserva-se o direito de alterar estes termos e condições a qualquer momento, a critério próprio, e de suspender ou cancelar a Promoção ou a participação de qualquer pessoa na Promoção caso vírus informáticos, intervenção humana não autorizada ou outras causas para além do controlo razoável do Patrocinador afetem a administração, segurança ou realização da Promoção, ou o Patrocinador se tornar de outra forma (conforme determinado a critério próprio) incapaz de realizar a Promoção conforme planeado, ou por qualquer outro motivo determinado pelo Patrocinador como sendo apropriado a critério próprio.  Os Participantes que violem estes termos e condições, violem qualquer lei, regra ou regulamento associados à participação na Promoção, interfiram no funcionamento da Promoção ou de qualquer controlador proposto no âmbito da mesma, ou se envolvam em qualquer conduta que seja prejudicial ou injusta para o Patrocinador, a Promoção ou qualquer outro participante (em todo o caso conforme determinado a critério próprio do Patrocinador) estão sujeitos a desqualificação da participação na Promoção.  Se tiver alguma dúvida sobre estes termos e condições ou sobre a Promoção, envie um e-mail para </w:t>
      </w:r>
      <w:hyperlink r:id="rId22" w:history="1">
        <w:r w:rsidRPr="00A05288">
          <w:rPr>
            <w:rStyle w:val="Hyperlink"/>
            <w:rFonts w:eastAsia="Times New Roman"/>
            <w:sz w:val="20"/>
            <w:szCs w:val="20"/>
            <w:lang w:val="pt-PT"/>
          </w:rPr>
          <w:t>ehv-marcom@fluke.nl</w:t>
        </w:r>
      </w:hyperlink>
      <w:r>
        <w:rPr>
          <w:rFonts w:eastAsia="Times New Roman"/>
          <w:sz w:val="20"/>
          <w:szCs w:val="20"/>
          <w:lang w:val="pt-PT"/>
        </w:rPr>
        <w:t xml:space="preserve"> ou envie perguntas por escrito para o seguinte endereço: Fluke Europe B.V., BIC 1, 5657 BX, Eindhoven, Países Baixos.</w:t>
      </w:r>
    </w:p>
    <w:p w14:paraId="5C46C1E6" w14:textId="77777777" w:rsidR="00E17D5D" w:rsidRPr="00B41A7A" w:rsidRDefault="00E17D5D" w:rsidP="00E17D5D">
      <w:pPr>
        <w:pStyle w:val="ListParagraph"/>
        <w:ind w:left="284"/>
        <w:jc w:val="both"/>
        <w:rPr>
          <w:sz w:val="20"/>
          <w:lang w:val="pt-PT"/>
        </w:rPr>
      </w:pPr>
    </w:p>
    <w:p w14:paraId="218971D8" w14:textId="77777777" w:rsidR="00E17D5D" w:rsidRPr="006D63B1" w:rsidRDefault="00E17D5D" w:rsidP="00E17D5D">
      <w:pPr>
        <w:pStyle w:val="ListParagraph"/>
        <w:numPr>
          <w:ilvl w:val="0"/>
          <w:numId w:val="14"/>
        </w:numPr>
        <w:ind w:left="284" w:hanging="284"/>
        <w:jc w:val="both"/>
        <w:rPr>
          <w:sz w:val="20"/>
        </w:rPr>
      </w:pPr>
      <w:r>
        <w:rPr>
          <w:rFonts w:eastAsia="Times New Roman"/>
          <w:sz w:val="20"/>
          <w:szCs w:val="20"/>
          <w:lang w:val="pt-PT"/>
        </w:rPr>
        <w:t xml:space="preserve">A utilização pelo Patrocinador da informação pessoal do cliente fornecida ao Patrocinador está sujeita à Política de privacidade do patrocinador (disponível em </w:t>
      </w:r>
      <w:hyperlink r:id="rId23" w:history="1">
        <w:r>
          <w:rPr>
            <w:rFonts w:eastAsia="Times New Roman"/>
            <w:color w:val="0000FF"/>
            <w:sz w:val="20"/>
            <w:szCs w:val="20"/>
            <w:u w:val="single"/>
            <w:lang w:val="pt-PT"/>
          </w:rPr>
          <w:t>http://en-us.fluke.com/site/privacy</w:t>
        </w:r>
      </w:hyperlink>
      <w:r>
        <w:rPr>
          <w:rFonts w:eastAsia="Times New Roman"/>
          <w:sz w:val="20"/>
          <w:szCs w:val="20"/>
          <w:lang w:val="pt-PT"/>
        </w:rPr>
        <w:t xml:space="preserve">). Se tiver perguntas sobre estes termos e condições ou sobre a Promoção, envie uma mensagem de e-mail para </w:t>
      </w:r>
      <w:hyperlink r:id="rId24" w:history="1">
        <w:r>
          <w:rPr>
            <w:rFonts w:eastAsia="Times New Roman"/>
            <w:color w:val="0000FF"/>
            <w:sz w:val="20"/>
            <w:szCs w:val="20"/>
            <w:u w:val="single"/>
            <w:lang w:val="pt-PT"/>
          </w:rPr>
          <w:t>privacypolicy@fluke.com</w:t>
        </w:r>
      </w:hyperlink>
      <w:r>
        <w:rPr>
          <w:rFonts w:eastAsia="Times New Roman"/>
          <w:sz w:val="20"/>
          <w:szCs w:val="20"/>
          <w:lang w:val="pt-PT"/>
        </w:rPr>
        <w:t xml:space="preserve"> ou envie as suas perguntas por escrito para a morada fornecida acima.</w:t>
      </w:r>
    </w:p>
    <w:p w14:paraId="56136E29" w14:textId="77777777" w:rsidR="00EB538B" w:rsidRPr="006D63B1" w:rsidRDefault="00EB538B" w:rsidP="006D63B1">
      <w:pPr>
        <w:pStyle w:val="BodyText"/>
        <w:spacing w:after="0"/>
        <w:ind w:left="284"/>
        <w:rPr>
          <w:rFonts w:ascii="Times New Roman" w:hAnsi="Times New Roman"/>
          <w:sz w:val="20"/>
          <w:szCs w:val="20"/>
        </w:rPr>
      </w:pPr>
    </w:p>
    <w:sectPr w:rsidR="00EB538B" w:rsidRPr="006D63B1" w:rsidSect="002110D5">
      <w:headerReference w:type="default" r:id="rId25"/>
      <w:footerReference w:type="default" r:id="rId26"/>
      <w:headerReference w:type="first" r:id="rId27"/>
      <w:footerReference w:type="first" r:id="rId2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AB455" w14:textId="77777777" w:rsidR="00EB538B" w:rsidRDefault="00EB538B">
      <w:r>
        <w:separator/>
      </w:r>
    </w:p>
  </w:endnote>
  <w:endnote w:type="continuationSeparator" w:id="0">
    <w:p w14:paraId="08C9E6DB" w14:textId="77777777" w:rsidR="00EB538B" w:rsidRDefault="00EB5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ADD9" w14:textId="77777777" w:rsidR="004E2BE2" w:rsidRDefault="00EB538B">
    <w:pPr>
      <w:pStyle w:val="Footer"/>
      <w:jc w:val="center"/>
      <w:rPr>
        <w:rFonts w:ascii="Calibri" w:hAnsi="Calibri"/>
        <w:sz w:val="22"/>
        <w:szCs w:val="22"/>
      </w:rPr>
    </w:pPr>
    <w:r>
      <w:rPr>
        <w:rFonts w:ascii="Calibri" w:hAnsi="Calibri"/>
        <w:sz w:val="22"/>
        <w:szCs w:val="22"/>
      </w:rPr>
      <w:t>-</w:t>
    </w:r>
    <w:r>
      <w:rPr>
        <w:rFonts w:ascii="Calibri" w:hAnsi="Calibri"/>
        <w:sz w:val="22"/>
        <w:szCs w:val="22"/>
      </w:rPr>
      <w:fldChar w:fldCharType="begin"/>
    </w:r>
    <w:r>
      <w:rPr>
        <w:rFonts w:ascii="Calibri" w:hAnsi="Calibri"/>
        <w:sz w:val="22"/>
        <w:szCs w:val="22"/>
      </w:rPr>
      <w:instrText xml:space="preserve"> PAGE   \* MERGEFORMAT </w:instrText>
    </w:r>
    <w:r>
      <w:rPr>
        <w:rFonts w:ascii="Calibri" w:hAnsi="Calibri"/>
        <w:sz w:val="22"/>
        <w:szCs w:val="22"/>
      </w:rPr>
      <w:fldChar w:fldCharType="separate"/>
    </w:r>
    <w:r>
      <w:rPr>
        <w:rFonts w:ascii="Calibri" w:hAnsi="Calibri"/>
        <w:noProof/>
        <w:sz w:val="22"/>
        <w:szCs w:val="22"/>
      </w:rPr>
      <w:t>2</w:t>
    </w:r>
    <w:r>
      <w:rPr>
        <w:rFonts w:ascii="Calibri" w:hAnsi="Calibri"/>
        <w:noProof/>
        <w:sz w:val="22"/>
        <w:szCs w:val="22"/>
      </w:rPr>
      <w:fldChar w:fldCharType="end"/>
    </w:r>
    <w:r>
      <w:rPr>
        <w:rFonts w:ascii="Calibri" w:hAnsi="Calibri"/>
        <w:sz w:val="22"/>
        <w:szCs w:val="22"/>
      </w:rPr>
      <w:t>-</w:t>
    </w:r>
  </w:p>
  <w:p w14:paraId="42FF5C76" w14:textId="77777777" w:rsidR="004E2BE2" w:rsidRDefault="00EB538B">
    <w:pPr>
      <w:pStyle w:val="Footer"/>
      <w:spacing w:line="200" w:lineRule="exact"/>
      <w:rPr>
        <w:rFonts w:ascii="Calibri" w:hAnsi="Calibri"/>
        <w:sz w:val="22"/>
        <w:szCs w:val="22"/>
      </w:rPr>
    </w:pPr>
    <w:r>
      <w:rPr>
        <w:rStyle w:val="zzmpTrailerItem"/>
        <w:rFonts w:eastAsia="Times New Roman"/>
        <w:lang w:val="pt-PT"/>
      </w:rPr>
      <w:t>132581448.4</w:t>
    </w:r>
    <w:r>
      <w:rPr>
        <w:rStyle w:val="zzmpTrailerItem"/>
        <w:rFonts w:eastAsia="Times New Roman"/>
        <w:sz w:val="24"/>
        <w:szCs w:val="24"/>
        <w:lang w:val="pt-P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CA8B4" w14:textId="77777777" w:rsidR="004E2BE2" w:rsidRDefault="00EB538B">
    <w:pPr>
      <w:pStyle w:val="Footer"/>
      <w:jc w:val="center"/>
      <w:rPr>
        <w:rFonts w:ascii="Calibri" w:hAnsi="Calibri"/>
        <w:noProof/>
        <w:sz w:val="22"/>
        <w:szCs w:val="22"/>
      </w:rPr>
    </w:pPr>
    <w:r>
      <w:rPr>
        <w:rFonts w:ascii="Calibri" w:hAnsi="Calibri"/>
        <w:sz w:val="22"/>
        <w:szCs w:val="22"/>
      </w:rPr>
      <w:t>-</w:t>
    </w:r>
    <w:r>
      <w:rPr>
        <w:rFonts w:ascii="Calibri" w:hAnsi="Calibri"/>
        <w:sz w:val="22"/>
        <w:szCs w:val="22"/>
      </w:rPr>
      <w:fldChar w:fldCharType="begin"/>
    </w:r>
    <w:r>
      <w:rPr>
        <w:rFonts w:ascii="Calibri" w:hAnsi="Calibri"/>
        <w:sz w:val="22"/>
        <w:szCs w:val="22"/>
      </w:rPr>
      <w:instrText xml:space="preserve"> PAGE   \* MERGEFORMAT </w:instrText>
    </w:r>
    <w:r>
      <w:rPr>
        <w:rFonts w:ascii="Calibri" w:hAnsi="Calibri"/>
        <w:sz w:val="22"/>
        <w:szCs w:val="22"/>
      </w:rPr>
      <w:fldChar w:fldCharType="separate"/>
    </w:r>
    <w:r>
      <w:rPr>
        <w:rFonts w:ascii="Calibri" w:hAnsi="Calibri"/>
        <w:noProof/>
        <w:sz w:val="22"/>
        <w:szCs w:val="22"/>
      </w:rPr>
      <w:t>1</w:t>
    </w:r>
    <w:r>
      <w:rPr>
        <w:rFonts w:ascii="Calibri" w:hAnsi="Calibri"/>
        <w:noProof/>
        <w:sz w:val="22"/>
        <w:szCs w:val="22"/>
      </w:rPr>
      <w:fldChar w:fldCharType="end"/>
    </w:r>
    <w:r>
      <w:rPr>
        <w:rFonts w:ascii="Calibri" w:hAnsi="Calibri"/>
        <w:noProof/>
        <w:sz w:val="22"/>
        <w:szCs w:val="22"/>
      </w:rPr>
      <w:t>-</w:t>
    </w:r>
  </w:p>
  <w:p w14:paraId="3CD0D10A" w14:textId="77777777" w:rsidR="004E2BE2" w:rsidRDefault="00EB538B">
    <w:pPr>
      <w:pStyle w:val="Footer"/>
      <w:spacing w:line="200" w:lineRule="exact"/>
      <w:rPr>
        <w:rFonts w:ascii="Calibri" w:hAnsi="Calibri"/>
        <w:noProof/>
        <w:sz w:val="22"/>
        <w:szCs w:val="22"/>
      </w:rPr>
    </w:pPr>
    <w:r>
      <w:rPr>
        <w:rStyle w:val="zzmpTrailerItem"/>
        <w:rFonts w:eastAsia="Times New Roman"/>
        <w:lang w:val="pt-PT"/>
      </w:rPr>
      <w:t>132581448.4</w:t>
    </w:r>
    <w:r>
      <w:rPr>
        <w:rStyle w:val="zzmpTrailerItem"/>
        <w:rFonts w:eastAsia="Times New Roman"/>
        <w:sz w:val="24"/>
        <w:szCs w:val="24"/>
        <w:lang w:val="pt-P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C7827" w14:textId="77777777" w:rsidR="00EB538B" w:rsidRDefault="00EB538B">
      <w:r>
        <w:separator/>
      </w:r>
    </w:p>
  </w:footnote>
  <w:footnote w:type="continuationSeparator" w:id="0">
    <w:p w14:paraId="52FB9441" w14:textId="77777777" w:rsidR="00EB538B" w:rsidRDefault="00EB5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E3143" w14:textId="77777777" w:rsidR="008506A1" w:rsidRDefault="00850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816FA" w14:textId="77777777" w:rsidR="004E2BE2" w:rsidRDefault="004E2B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F2DCD"/>
    <w:multiLevelType w:val="hybridMultilevel"/>
    <w:tmpl w:val="19F084D2"/>
    <w:lvl w:ilvl="0" w:tplc="2990C298">
      <w:start w:val="1"/>
      <w:numFmt w:val="bullet"/>
      <w:lvlText w:val=""/>
      <w:lvlJc w:val="left"/>
      <w:pPr>
        <w:ind w:left="1350" w:hanging="360"/>
      </w:pPr>
      <w:rPr>
        <w:rFonts w:ascii="Symbol" w:hAnsi="Symbol" w:hint="default"/>
      </w:rPr>
    </w:lvl>
    <w:lvl w:ilvl="1" w:tplc="E15E887E">
      <w:start w:val="1"/>
      <w:numFmt w:val="bullet"/>
      <w:lvlText w:val="o"/>
      <w:lvlJc w:val="left"/>
      <w:pPr>
        <w:ind w:left="2070" w:hanging="360"/>
      </w:pPr>
      <w:rPr>
        <w:rFonts w:ascii="Courier New" w:hAnsi="Courier New" w:cs="Courier New" w:hint="default"/>
      </w:rPr>
    </w:lvl>
    <w:lvl w:ilvl="2" w:tplc="F042ADC0">
      <w:start w:val="1"/>
      <w:numFmt w:val="bullet"/>
      <w:lvlText w:val=""/>
      <w:lvlJc w:val="left"/>
      <w:pPr>
        <w:ind w:left="2790" w:hanging="360"/>
      </w:pPr>
      <w:rPr>
        <w:rFonts w:ascii="Wingdings" w:hAnsi="Wingdings" w:hint="default"/>
      </w:rPr>
    </w:lvl>
    <w:lvl w:ilvl="3" w:tplc="1C0C4C46">
      <w:start w:val="1"/>
      <w:numFmt w:val="bullet"/>
      <w:lvlText w:val=""/>
      <w:lvlJc w:val="left"/>
      <w:pPr>
        <w:ind w:left="3510" w:hanging="360"/>
      </w:pPr>
      <w:rPr>
        <w:rFonts w:ascii="Symbol" w:hAnsi="Symbol" w:hint="default"/>
      </w:rPr>
    </w:lvl>
    <w:lvl w:ilvl="4" w:tplc="71D09A46">
      <w:start w:val="1"/>
      <w:numFmt w:val="bullet"/>
      <w:lvlText w:val="o"/>
      <w:lvlJc w:val="left"/>
      <w:pPr>
        <w:ind w:left="4230" w:hanging="360"/>
      </w:pPr>
      <w:rPr>
        <w:rFonts w:ascii="Courier New" w:hAnsi="Courier New" w:cs="Courier New" w:hint="default"/>
      </w:rPr>
    </w:lvl>
    <w:lvl w:ilvl="5" w:tplc="02B09408">
      <w:start w:val="1"/>
      <w:numFmt w:val="bullet"/>
      <w:lvlText w:val=""/>
      <w:lvlJc w:val="left"/>
      <w:pPr>
        <w:ind w:left="4950" w:hanging="360"/>
      </w:pPr>
      <w:rPr>
        <w:rFonts w:ascii="Wingdings" w:hAnsi="Wingdings" w:hint="default"/>
      </w:rPr>
    </w:lvl>
    <w:lvl w:ilvl="6" w:tplc="91E68B10">
      <w:start w:val="1"/>
      <w:numFmt w:val="bullet"/>
      <w:lvlText w:val=""/>
      <w:lvlJc w:val="left"/>
      <w:pPr>
        <w:ind w:left="5670" w:hanging="360"/>
      </w:pPr>
      <w:rPr>
        <w:rFonts w:ascii="Symbol" w:hAnsi="Symbol" w:hint="default"/>
      </w:rPr>
    </w:lvl>
    <w:lvl w:ilvl="7" w:tplc="5972FBBC">
      <w:start w:val="1"/>
      <w:numFmt w:val="bullet"/>
      <w:lvlText w:val="o"/>
      <w:lvlJc w:val="left"/>
      <w:pPr>
        <w:ind w:left="6390" w:hanging="360"/>
      </w:pPr>
      <w:rPr>
        <w:rFonts w:ascii="Courier New" w:hAnsi="Courier New" w:cs="Courier New" w:hint="default"/>
      </w:rPr>
    </w:lvl>
    <w:lvl w:ilvl="8" w:tplc="09CACE8A">
      <w:start w:val="1"/>
      <w:numFmt w:val="bullet"/>
      <w:lvlText w:val=""/>
      <w:lvlJc w:val="left"/>
      <w:pPr>
        <w:ind w:left="7110" w:hanging="360"/>
      </w:pPr>
      <w:rPr>
        <w:rFonts w:ascii="Wingdings" w:hAnsi="Wingdings" w:hint="default"/>
      </w:rPr>
    </w:lvl>
  </w:abstractNum>
  <w:abstractNum w:abstractNumId="1" w15:restartNumberingAfterBreak="0">
    <w:nsid w:val="25086E03"/>
    <w:multiLevelType w:val="hybridMultilevel"/>
    <w:tmpl w:val="700E444E"/>
    <w:lvl w:ilvl="0" w:tplc="55DAF11C">
      <w:start w:val="1"/>
      <w:numFmt w:val="decimal"/>
      <w:lvlText w:val="%1."/>
      <w:lvlJc w:val="left"/>
      <w:pPr>
        <w:ind w:left="630" w:hanging="360"/>
      </w:pPr>
    </w:lvl>
    <w:lvl w:ilvl="1" w:tplc="68F4BC82">
      <w:start w:val="1"/>
      <w:numFmt w:val="lowerLetter"/>
      <w:lvlText w:val="%2."/>
      <w:lvlJc w:val="left"/>
      <w:pPr>
        <w:ind w:left="1350" w:hanging="360"/>
      </w:pPr>
    </w:lvl>
    <w:lvl w:ilvl="2" w:tplc="55368F04">
      <w:start w:val="1"/>
      <w:numFmt w:val="lowerRoman"/>
      <w:lvlText w:val="%3."/>
      <w:lvlJc w:val="right"/>
      <w:pPr>
        <w:ind w:left="2070" w:hanging="180"/>
      </w:pPr>
    </w:lvl>
    <w:lvl w:ilvl="3" w:tplc="03C88162">
      <w:start w:val="1"/>
      <w:numFmt w:val="decimal"/>
      <w:lvlText w:val="%4."/>
      <w:lvlJc w:val="left"/>
      <w:pPr>
        <w:ind w:left="2790" w:hanging="360"/>
      </w:pPr>
    </w:lvl>
    <w:lvl w:ilvl="4" w:tplc="00F88018">
      <w:start w:val="1"/>
      <w:numFmt w:val="lowerLetter"/>
      <w:lvlText w:val="%5."/>
      <w:lvlJc w:val="left"/>
      <w:pPr>
        <w:ind w:left="3510" w:hanging="360"/>
      </w:pPr>
    </w:lvl>
    <w:lvl w:ilvl="5" w:tplc="BC522E86">
      <w:start w:val="1"/>
      <w:numFmt w:val="lowerRoman"/>
      <w:lvlText w:val="%6."/>
      <w:lvlJc w:val="right"/>
      <w:pPr>
        <w:ind w:left="4230" w:hanging="180"/>
      </w:pPr>
    </w:lvl>
    <w:lvl w:ilvl="6" w:tplc="1E96A9E2">
      <w:start w:val="1"/>
      <w:numFmt w:val="decimal"/>
      <w:lvlText w:val="%7."/>
      <w:lvlJc w:val="left"/>
      <w:pPr>
        <w:ind w:left="4950" w:hanging="360"/>
      </w:pPr>
    </w:lvl>
    <w:lvl w:ilvl="7" w:tplc="D006F36A">
      <w:start w:val="1"/>
      <w:numFmt w:val="lowerLetter"/>
      <w:lvlText w:val="%8."/>
      <w:lvlJc w:val="left"/>
      <w:pPr>
        <w:ind w:left="5670" w:hanging="360"/>
      </w:pPr>
    </w:lvl>
    <w:lvl w:ilvl="8" w:tplc="CB228108">
      <w:start w:val="1"/>
      <w:numFmt w:val="lowerRoman"/>
      <w:lvlText w:val="%9."/>
      <w:lvlJc w:val="right"/>
      <w:pPr>
        <w:ind w:left="6390" w:hanging="180"/>
      </w:pPr>
    </w:lvl>
  </w:abstractNum>
  <w:abstractNum w:abstractNumId="2" w15:restartNumberingAfterBreak="0">
    <w:nsid w:val="2E16302E"/>
    <w:multiLevelType w:val="hybridMultilevel"/>
    <w:tmpl w:val="199AAE14"/>
    <w:lvl w:ilvl="0" w:tplc="5F34E11A">
      <w:start w:val="1"/>
      <w:numFmt w:val="bullet"/>
      <w:lvlText w:val=""/>
      <w:lvlJc w:val="left"/>
      <w:pPr>
        <w:ind w:left="1440" w:hanging="360"/>
      </w:pPr>
      <w:rPr>
        <w:rFonts w:ascii="Symbol" w:hAnsi="Symbol" w:hint="default"/>
      </w:rPr>
    </w:lvl>
    <w:lvl w:ilvl="1" w:tplc="381257CA" w:tentative="1">
      <w:start w:val="1"/>
      <w:numFmt w:val="bullet"/>
      <w:lvlText w:val="o"/>
      <w:lvlJc w:val="left"/>
      <w:pPr>
        <w:ind w:left="2160" w:hanging="360"/>
      </w:pPr>
      <w:rPr>
        <w:rFonts w:ascii="Courier New" w:hAnsi="Courier New" w:cs="Courier New" w:hint="default"/>
      </w:rPr>
    </w:lvl>
    <w:lvl w:ilvl="2" w:tplc="74405B2C" w:tentative="1">
      <w:start w:val="1"/>
      <w:numFmt w:val="bullet"/>
      <w:lvlText w:val=""/>
      <w:lvlJc w:val="left"/>
      <w:pPr>
        <w:ind w:left="2880" w:hanging="360"/>
      </w:pPr>
      <w:rPr>
        <w:rFonts w:ascii="Wingdings" w:hAnsi="Wingdings" w:hint="default"/>
      </w:rPr>
    </w:lvl>
    <w:lvl w:ilvl="3" w:tplc="007E6180" w:tentative="1">
      <w:start w:val="1"/>
      <w:numFmt w:val="bullet"/>
      <w:lvlText w:val=""/>
      <w:lvlJc w:val="left"/>
      <w:pPr>
        <w:ind w:left="3600" w:hanging="360"/>
      </w:pPr>
      <w:rPr>
        <w:rFonts w:ascii="Symbol" w:hAnsi="Symbol" w:hint="default"/>
      </w:rPr>
    </w:lvl>
    <w:lvl w:ilvl="4" w:tplc="F7948A2E" w:tentative="1">
      <w:start w:val="1"/>
      <w:numFmt w:val="bullet"/>
      <w:lvlText w:val="o"/>
      <w:lvlJc w:val="left"/>
      <w:pPr>
        <w:ind w:left="4320" w:hanging="360"/>
      </w:pPr>
      <w:rPr>
        <w:rFonts w:ascii="Courier New" w:hAnsi="Courier New" w:cs="Courier New" w:hint="default"/>
      </w:rPr>
    </w:lvl>
    <w:lvl w:ilvl="5" w:tplc="7A4C4868" w:tentative="1">
      <w:start w:val="1"/>
      <w:numFmt w:val="bullet"/>
      <w:lvlText w:val=""/>
      <w:lvlJc w:val="left"/>
      <w:pPr>
        <w:ind w:left="5040" w:hanging="360"/>
      </w:pPr>
      <w:rPr>
        <w:rFonts w:ascii="Wingdings" w:hAnsi="Wingdings" w:hint="default"/>
      </w:rPr>
    </w:lvl>
    <w:lvl w:ilvl="6" w:tplc="29285B38" w:tentative="1">
      <w:start w:val="1"/>
      <w:numFmt w:val="bullet"/>
      <w:lvlText w:val=""/>
      <w:lvlJc w:val="left"/>
      <w:pPr>
        <w:ind w:left="5760" w:hanging="360"/>
      </w:pPr>
      <w:rPr>
        <w:rFonts w:ascii="Symbol" w:hAnsi="Symbol" w:hint="default"/>
      </w:rPr>
    </w:lvl>
    <w:lvl w:ilvl="7" w:tplc="FBF0B49E" w:tentative="1">
      <w:start w:val="1"/>
      <w:numFmt w:val="bullet"/>
      <w:lvlText w:val="o"/>
      <w:lvlJc w:val="left"/>
      <w:pPr>
        <w:ind w:left="6480" w:hanging="360"/>
      </w:pPr>
      <w:rPr>
        <w:rFonts w:ascii="Courier New" w:hAnsi="Courier New" w:cs="Courier New" w:hint="default"/>
      </w:rPr>
    </w:lvl>
    <w:lvl w:ilvl="8" w:tplc="9B360FEA" w:tentative="1">
      <w:start w:val="1"/>
      <w:numFmt w:val="bullet"/>
      <w:lvlText w:val=""/>
      <w:lvlJc w:val="left"/>
      <w:pPr>
        <w:ind w:left="7200" w:hanging="360"/>
      </w:pPr>
      <w:rPr>
        <w:rFonts w:ascii="Wingdings" w:hAnsi="Wingdings" w:hint="default"/>
      </w:rPr>
    </w:lvl>
  </w:abstractNum>
  <w:abstractNum w:abstractNumId="3" w15:restartNumberingAfterBreak="0">
    <w:nsid w:val="4A636BE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F516CDD"/>
    <w:multiLevelType w:val="hybridMultilevel"/>
    <w:tmpl w:val="E78EF262"/>
    <w:lvl w:ilvl="0" w:tplc="92F2EAA4">
      <w:start w:val="3"/>
      <w:numFmt w:val="decimal"/>
      <w:lvlText w:val="%1)"/>
      <w:lvlJc w:val="left"/>
      <w:pPr>
        <w:ind w:left="720" w:hanging="360"/>
      </w:pPr>
      <w:rPr>
        <w:rFonts w:hint="default"/>
        <w:b/>
      </w:rPr>
    </w:lvl>
    <w:lvl w:ilvl="1" w:tplc="4BA66D28">
      <w:start w:val="1"/>
      <w:numFmt w:val="lowerLetter"/>
      <w:lvlText w:val="%2."/>
      <w:lvlJc w:val="left"/>
      <w:pPr>
        <w:ind w:left="1440" w:hanging="360"/>
      </w:pPr>
    </w:lvl>
    <w:lvl w:ilvl="2" w:tplc="25E066A8" w:tentative="1">
      <w:start w:val="1"/>
      <w:numFmt w:val="lowerRoman"/>
      <w:lvlText w:val="%3."/>
      <w:lvlJc w:val="right"/>
      <w:pPr>
        <w:ind w:left="2160" w:hanging="180"/>
      </w:pPr>
    </w:lvl>
    <w:lvl w:ilvl="3" w:tplc="C4208CFE" w:tentative="1">
      <w:start w:val="1"/>
      <w:numFmt w:val="decimal"/>
      <w:lvlText w:val="%4."/>
      <w:lvlJc w:val="left"/>
      <w:pPr>
        <w:ind w:left="2880" w:hanging="360"/>
      </w:pPr>
    </w:lvl>
    <w:lvl w:ilvl="4" w:tplc="5DF26216" w:tentative="1">
      <w:start w:val="1"/>
      <w:numFmt w:val="lowerLetter"/>
      <w:lvlText w:val="%5."/>
      <w:lvlJc w:val="left"/>
      <w:pPr>
        <w:ind w:left="3600" w:hanging="360"/>
      </w:pPr>
    </w:lvl>
    <w:lvl w:ilvl="5" w:tplc="81B46FBC" w:tentative="1">
      <w:start w:val="1"/>
      <w:numFmt w:val="lowerRoman"/>
      <w:lvlText w:val="%6."/>
      <w:lvlJc w:val="right"/>
      <w:pPr>
        <w:ind w:left="4320" w:hanging="180"/>
      </w:pPr>
    </w:lvl>
    <w:lvl w:ilvl="6" w:tplc="FF0E6FCC" w:tentative="1">
      <w:start w:val="1"/>
      <w:numFmt w:val="decimal"/>
      <w:lvlText w:val="%7."/>
      <w:lvlJc w:val="left"/>
      <w:pPr>
        <w:ind w:left="5040" w:hanging="360"/>
      </w:pPr>
    </w:lvl>
    <w:lvl w:ilvl="7" w:tplc="5316D38C" w:tentative="1">
      <w:start w:val="1"/>
      <w:numFmt w:val="lowerLetter"/>
      <w:lvlText w:val="%8."/>
      <w:lvlJc w:val="left"/>
      <w:pPr>
        <w:ind w:left="5760" w:hanging="360"/>
      </w:pPr>
    </w:lvl>
    <w:lvl w:ilvl="8" w:tplc="51E2B5DE" w:tentative="1">
      <w:start w:val="1"/>
      <w:numFmt w:val="lowerRoman"/>
      <w:lvlText w:val="%9."/>
      <w:lvlJc w:val="right"/>
      <w:pPr>
        <w:ind w:left="6480" w:hanging="180"/>
      </w:pPr>
    </w:lvl>
  </w:abstractNum>
  <w:abstractNum w:abstractNumId="5" w15:restartNumberingAfterBreak="0">
    <w:nsid w:val="63AC1449"/>
    <w:multiLevelType w:val="multilevel"/>
    <w:tmpl w:val="86EED22A"/>
    <w:name w:val="zzmpOutline||Outline|2|3|1|1|12|1||1|12|32||1|12|1||1|12|1||1|12|1||1|12|1||1|12|1||1|12|1||1|12|1||"/>
    <w:lvl w:ilvl="0">
      <w:start w:val="1"/>
      <w:numFmt w:val="decimal"/>
      <w:pStyle w:val="OutlineL1"/>
      <w:lvlText w:val="%1."/>
      <w:lvlJc w:val="left"/>
      <w:pPr>
        <w:tabs>
          <w:tab w:val="num" w:pos="1152"/>
        </w:tabs>
        <w:ind w:left="1008" w:hanging="576"/>
      </w:pPr>
      <w:rPr>
        <w:b w:val="0"/>
        <w:i w:val="0"/>
        <w:caps w:val="0"/>
        <w:smallCaps w:val="0"/>
        <w:u w:val="none"/>
      </w:rPr>
    </w:lvl>
    <w:lvl w:ilvl="1">
      <w:start w:val="1"/>
      <w:numFmt w:val="lowerLetter"/>
      <w:pStyle w:val="OutlineL2"/>
      <w:lvlText w:val="%2."/>
      <w:lvlJc w:val="left"/>
      <w:pPr>
        <w:tabs>
          <w:tab w:val="num" w:pos="2160"/>
        </w:tabs>
        <w:ind w:left="2160" w:hanging="720"/>
      </w:pPr>
      <w:rPr>
        <w:b w:val="0"/>
        <w:i w:val="0"/>
        <w:caps w:val="0"/>
        <w:u w:val="none"/>
      </w:rPr>
    </w:lvl>
    <w:lvl w:ilvl="2">
      <w:start w:val="1"/>
      <w:numFmt w:val="decimal"/>
      <w:pStyle w:val="OutlineL3"/>
      <w:lvlText w:val="%3."/>
      <w:lvlJc w:val="left"/>
      <w:pPr>
        <w:tabs>
          <w:tab w:val="num" w:pos="2160"/>
        </w:tabs>
        <w:ind w:left="0" w:firstLine="1440"/>
      </w:pPr>
      <w:rPr>
        <w:b/>
        <w:i w:val="0"/>
        <w:caps w:val="0"/>
        <w:u w:val="none"/>
      </w:rPr>
    </w:lvl>
    <w:lvl w:ilvl="3">
      <w:start w:val="1"/>
      <w:numFmt w:val="lowerLetter"/>
      <w:pStyle w:val="OutlineL4"/>
      <w:lvlText w:val="%4."/>
      <w:lvlJc w:val="left"/>
      <w:pPr>
        <w:tabs>
          <w:tab w:val="num" w:pos="2880"/>
        </w:tabs>
        <w:ind w:left="0" w:firstLine="2160"/>
      </w:pPr>
      <w:rPr>
        <w:b/>
        <w:i w:val="0"/>
        <w:caps w:val="0"/>
        <w:u w:val="none"/>
      </w:rPr>
    </w:lvl>
    <w:lvl w:ilvl="4">
      <w:start w:val="1"/>
      <w:numFmt w:val="lowerRoman"/>
      <w:pStyle w:val="OutlineL5"/>
      <w:lvlText w:val="(%5)"/>
      <w:lvlJc w:val="left"/>
      <w:pPr>
        <w:tabs>
          <w:tab w:val="num" w:pos="3600"/>
        </w:tabs>
        <w:ind w:left="0" w:firstLine="2880"/>
      </w:pPr>
      <w:rPr>
        <w:b/>
        <w:i w:val="0"/>
        <w:caps w:val="0"/>
        <w:u w:val="none"/>
      </w:rPr>
    </w:lvl>
    <w:lvl w:ilvl="5">
      <w:start w:val="1"/>
      <w:numFmt w:val="lowerLetter"/>
      <w:pStyle w:val="OutlineL6"/>
      <w:lvlText w:val="(%6)"/>
      <w:lvlJc w:val="left"/>
      <w:pPr>
        <w:tabs>
          <w:tab w:val="num" w:pos="4320"/>
        </w:tabs>
        <w:ind w:left="0" w:firstLine="3600"/>
      </w:pPr>
      <w:rPr>
        <w:b/>
        <w:i w:val="0"/>
        <w:caps w:val="0"/>
        <w:u w:val="none"/>
      </w:rPr>
    </w:lvl>
    <w:lvl w:ilvl="6">
      <w:start w:val="1"/>
      <w:numFmt w:val="decimal"/>
      <w:pStyle w:val="OutlineL7"/>
      <w:lvlText w:val="(%7)"/>
      <w:lvlJc w:val="left"/>
      <w:pPr>
        <w:tabs>
          <w:tab w:val="num" w:pos="5040"/>
        </w:tabs>
        <w:ind w:left="0" w:firstLine="4320"/>
      </w:pPr>
      <w:rPr>
        <w:b/>
        <w:i w:val="0"/>
        <w:caps w:val="0"/>
        <w:u w:val="none"/>
      </w:rPr>
    </w:lvl>
    <w:lvl w:ilvl="7">
      <w:start w:val="1"/>
      <w:numFmt w:val="lowerRoman"/>
      <w:pStyle w:val="OutlineL8"/>
      <w:lvlText w:val="%8)"/>
      <w:lvlJc w:val="left"/>
      <w:pPr>
        <w:tabs>
          <w:tab w:val="num" w:pos="5760"/>
        </w:tabs>
        <w:ind w:left="0" w:firstLine="5040"/>
      </w:pPr>
      <w:rPr>
        <w:b/>
        <w:i w:val="0"/>
        <w:caps w:val="0"/>
        <w:u w:val="none"/>
      </w:rPr>
    </w:lvl>
    <w:lvl w:ilvl="8">
      <w:start w:val="1"/>
      <w:numFmt w:val="lowerLetter"/>
      <w:pStyle w:val="OutlineL9"/>
      <w:lvlText w:val="%9)"/>
      <w:lvlJc w:val="left"/>
      <w:pPr>
        <w:tabs>
          <w:tab w:val="num" w:pos="6480"/>
        </w:tabs>
        <w:ind w:left="0" w:firstLine="5760"/>
      </w:pPr>
      <w:rPr>
        <w:b/>
        <w:i w:val="0"/>
        <w:caps w:val="0"/>
        <w:u w:val="none"/>
      </w:rPr>
    </w:lvl>
  </w:abstractNum>
  <w:num w:numId="1" w16cid:durableId="1783064221">
    <w:abstractNumId w:val="5"/>
  </w:num>
  <w:num w:numId="2" w16cid:durableId="9154797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72304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30997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7414609">
    <w:abstractNumId w:val="5"/>
  </w:num>
  <w:num w:numId="6" w16cid:durableId="119227127">
    <w:abstractNumId w:val="5"/>
  </w:num>
  <w:num w:numId="7" w16cid:durableId="2099474974">
    <w:abstractNumId w:val="5"/>
  </w:num>
  <w:num w:numId="8" w16cid:durableId="2002853069">
    <w:abstractNumId w:val="5"/>
  </w:num>
  <w:num w:numId="9" w16cid:durableId="1380744709">
    <w:abstractNumId w:val="3"/>
  </w:num>
  <w:num w:numId="10" w16cid:durableId="14515575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1012098">
    <w:abstractNumId w:val="0"/>
  </w:num>
  <w:num w:numId="12" w16cid:durableId="1467626661">
    <w:abstractNumId w:val="1"/>
  </w:num>
  <w:num w:numId="13" w16cid:durableId="359278501">
    <w:abstractNumId w:val="2"/>
  </w:num>
  <w:num w:numId="14" w16cid:durableId="13145227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B20"/>
    <w:rsid w:val="000021F7"/>
    <w:rsid w:val="00012874"/>
    <w:rsid w:val="00015F21"/>
    <w:rsid w:val="000270EC"/>
    <w:rsid w:val="00031A87"/>
    <w:rsid w:val="00053092"/>
    <w:rsid w:val="00080806"/>
    <w:rsid w:val="0008590A"/>
    <w:rsid w:val="00097080"/>
    <w:rsid w:val="000A3FFC"/>
    <w:rsid w:val="000A4866"/>
    <w:rsid w:val="000A57BD"/>
    <w:rsid w:val="000B2D6B"/>
    <w:rsid w:val="000B3686"/>
    <w:rsid w:val="000C04FB"/>
    <w:rsid w:val="000C4619"/>
    <w:rsid w:val="000D134F"/>
    <w:rsid w:val="000D3C84"/>
    <w:rsid w:val="000E1C9F"/>
    <w:rsid w:val="000E518F"/>
    <w:rsid w:val="00122D5B"/>
    <w:rsid w:val="001750F9"/>
    <w:rsid w:val="00177E84"/>
    <w:rsid w:val="00182AF7"/>
    <w:rsid w:val="001852DC"/>
    <w:rsid w:val="001905FE"/>
    <w:rsid w:val="001A347D"/>
    <w:rsid w:val="001B369D"/>
    <w:rsid w:val="001B6514"/>
    <w:rsid w:val="001C1F96"/>
    <w:rsid w:val="001F35CE"/>
    <w:rsid w:val="0020744C"/>
    <w:rsid w:val="002110D5"/>
    <w:rsid w:val="00215139"/>
    <w:rsid w:val="00221DBF"/>
    <w:rsid w:val="00223726"/>
    <w:rsid w:val="00227B20"/>
    <w:rsid w:val="002345C2"/>
    <w:rsid w:val="002442D1"/>
    <w:rsid w:val="002625B8"/>
    <w:rsid w:val="00281E61"/>
    <w:rsid w:val="0028695D"/>
    <w:rsid w:val="002A45D9"/>
    <w:rsid w:val="002B1F46"/>
    <w:rsid w:val="002B7846"/>
    <w:rsid w:val="002E3358"/>
    <w:rsid w:val="002E64CD"/>
    <w:rsid w:val="002F6059"/>
    <w:rsid w:val="002F75B3"/>
    <w:rsid w:val="0030593C"/>
    <w:rsid w:val="00307B32"/>
    <w:rsid w:val="0032001B"/>
    <w:rsid w:val="00324A57"/>
    <w:rsid w:val="00327B50"/>
    <w:rsid w:val="00330C89"/>
    <w:rsid w:val="00332FA4"/>
    <w:rsid w:val="00335E81"/>
    <w:rsid w:val="0034146D"/>
    <w:rsid w:val="003438B0"/>
    <w:rsid w:val="00346B02"/>
    <w:rsid w:val="00351E27"/>
    <w:rsid w:val="00357BF8"/>
    <w:rsid w:val="00374B2C"/>
    <w:rsid w:val="003A5E0B"/>
    <w:rsid w:val="003D057A"/>
    <w:rsid w:val="003E5F1E"/>
    <w:rsid w:val="003F541B"/>
    <w:rsid w:val="00403FE5"/>
    <w:rsid w:val="00410B71"/>
    <w:rsid w:val="00415671"/>
    <w:rsid w:val="00420BC4"/>
    <w:rsid w:val="00455ABE"/>
    <w:rsid w:val="00464ABC"/>
    <w:rsid w:val="00472DBE"/>
    <w:rsid w:val="00474B5D"/>
    <w:rsid w:val="00490983"/>
    <w:rsid w:val="00492641"/>
    <w:rsid w:val="00493353"/>
    <w:rsid w:val="00493811"/>
    <w:rsid w:val="00495496"/>
    <w:rsid w:val="004B1EB5"/>
    <w:rsid w:val="004B7015"/>
    <w:rsid w:val="004C01D1"/>
    <w:rsid w:val="004C2E78"/>
    <w:rsid w:val="004C3E8B"/>
    <w:rsid w:val="004C4E58"/>
    <w:rsid w:val="004C5EC6"/>
    <w:rsid w:val="004D69AA"/>
    <w:rsid w:val="004E2BE2"/>
    <w:rsid w:val="004E4B32"/>
    <w:rsid w:val="004E6B5D"/>
    <w:rsid w:val="00501CD1"/>
    <w:rsid w:val="005254FD"/>
    <w:rsid w:val="00530F43"/>
    <w:rsid w:val="0053117E"/>
    <w:rsid w:val="00545CCE"/>
    <w:rsid w:val="005508D5"/>
    <w:rsid w:val="005660DE"/>
    <w:rsid w:val="00570F7F"/>
    <w:rsid w:val="005866D3"/>
    <w:rsid w:val="005955D4"/>
    <w:rsid w:val="005A3611"/>
    <w:rsid w:val="005A5235"/>
    <w:rsid w:val="005B7610"/>
    <w:rsid w:val="005B7C8C"/>
    <w:rsid w:val="005C0D6B"/>
    <w:rsid w:val="005D146E"/>
    <w:rsid w:val="005E1CF9"/>
    <w:rsid w:val="005E20D7"/>
    <w:rsid w:val="005F1CE0"/>
    <w:rsid w:val="006045CF"/>
    <w:rsid w:val="00633E68"/>
    <w:rsid w:val="0063605A"/>
    <w:rsid w:val="00641B11"/>
    <w:rsid w:val="00664E5D"/>
    <w:rsid w:val="0069741B"/>
    <w:rsid w:val="006C056C"/>
    <w:rsid w:val="006C1A7F"/>
    <w:rsid w:val="006D22C1"/>
    <w:rsid w:val="006D3FA2"/>
    <w:rsid w:val="006D5E7C"/>
    <w:rsid w:val="006D63B1"/>
    <w:rsid w:val="006E3C14"/>
    <w:rsid w:val="00705466"/>
    <w:rsid w:val="007107D1"/>
    <w:rsid w:val="00712D8F"/>
    <w:rsid w:val="0071445C"/>
    <w:rsid w:val="00736115"/>
    <w:rsid w:val="00742CAA"/>
    <w:rsid w:val="007477A8"/>
    <w:rsid w:val="007539D3"/>
    <w:rsid w:val="00762262"/>
    <w:rsid w:val="00780B6B"/>
    <w:rsid w:val="007A47F1"/>
    <w:rsid w:val="007B0133"/>
    <w:rsid w:val="007D3165"/>
    <w:rsid w:val="007D4F4E"/>
    <w:rsid w:val="007D509D"/>
    <w:rsid w:val="00801C56"/>
    <w:rsid w:val="00811117"/>
    <w:rsid w:val="008506A1"/>
    <w:rsid w:val="0086258B"/>
    <w:rsid w:val="00881420"/>
    <w:rsid w:val="008941D4"/>
    <w:rsid w:val="008C2765"/>
    <w:rsid w:val="008C4547"/>
    <w:rsid w:val="008F2A3A"/>
    <w:rsid w:val="008F2A9E"/>
    <w:rsid w:val="0090596D"/>
    <w:rsid w:val="009153C0"/>
    <w:rsid w:val="00920FA5"/>
    <w:rsid w:val="00943D14"/>
    <w:rsid w:val="00945A1B"/>
    <w:rsid w:val="0094606A"/>
    <w:rsid w:val="00956A16"/>
    <w:rsid w:val="00962063"/>
    <w:rsid w:val="009655DE"/>
    <w:rsid w:val="0096658F"/>
    <w:rsid w:val="00970659"/>
    <w:rsid w:val="00982BC1"/>
    <w:rsid w:val="00984184"/>
    <w:rsid w:val="009C4658"/>
    <w:rsid w:val="009C6608"/>
    <w:rsid w:val="009F7AE3"/>
    <w:rsid w:val="00A00539"/>
    <w:rsid w:val="00A11E2D"/>
    <w:rsid w:val="00A22B91"/>
    <w:rsid w:val="00A233BC"/>
    <w:rsid w:val="00A23C0A"/>
    <w:rsid w:val="00A30500"/>
    <w:rsid w:val="00A3633B"/>
    <w:rsid w:val="00A51914"/>
    <w:rsid w:val="00A57E87"/>
    <w:rsid w:val="00A741E1"/>
    <w:rsid w:val="00A8317A"/>
    <w:rsid w:val="00A8384A"/>
    <w:rsid w:val="00AB11BF"/>
    <w:rsid w:val="00AE1F95"/>
    <w:rsid w:val="00AE6182"/>
    <w:rsid w:val="00AF500D"/>
    <w:rsid w:val="00B031E8"/>
    <w:rsid w:val="00B0567E"/>
    <w:rsid w:val="00B0769F"/>
    <w:rsid w:val="00B1085F"/>
    <w:rsid w:val="00B12AA8"/>
    <w:rsid w:val="00B14C64"/>
    <w:rsid w:val="00B245B1"/>
    <w:rsid w:val="00B36919"/>
    <w:rsid w:val="00B4738E"/>
    <w:rsid w:val="00B646AE"/>
    <w:rsid w:val="00B83484"/>
    <w:rsid w:val="00B929C2"/>
    <w:rsid w:val="00BC3DAE"/>
    <w:rsid w:val="00C146D0"/>
    <w:rsid w:val="00C26238"/>
    <w:rsid w:val="00C369D7"/>
    <w:rsid w:val="00C45485"/>
    <w:rsid w:val="00C46781"/>
    <w:rsid w:val="00C707A1"/>
    <w:rsid w:val="00C753C5"/>
    <w:rsid w:val="00CA09FE"/>
    <w:rsid w:val="00CB3B03"/>
    <w:rsid w:val="00CB65BA"/>
    <w:rsid w:val="00CC1FBC"/>
    <w:rsid w:val="00CC425B"/>
    <w:rsid w:val="00CE290E"/>
    <w:rsid w:val="00CE52DC"/>
    <w:rsid w:val="00D22784"/>
    <w:rsid w:val="00D24503"/>
    <w:rsid w:val="00D2758C"/>
    <w:rsid w:val="00D474B9"/>
    <w:rsid w:val="00D77BC9"/>
    <w:rsid w:val="00D82874"/>
    <w:rsid w:val="00D87628"/>
    <w:rsid w:val="00DA1251"/>
    <w:rsid w:val="00DA3951"/>
    <w:rsid w:val="00DB0EA2"/>
    <w:rsid w:val="00DB4E62"/>
    <w:rsid w:val="00DC285C"/>
    <w:rsid w:val="00DC38B8"/>
    <w:rsid w:val="00E17D5D"/>
    <w:rsid w:val="00E31CC0"/>
    <w:rsid w:val="00E34A39"/>
    <w:rsid w:val="00E477C7"/>
    <w:rsid w:val="00E70B4F"/>
    <w:rsid w:val="00E9797A"/>
    <w:rsid w:val="00EB538B"/>
    <w:rsid w:val="00EC4FEF"/>
    <w:rsid w:val="00F036C7"/>
    <w:rsid w:val="00F05982"/>
    <w:rsid w:val="00F05C48"/>
    <w:rsid w:val="00F15AF7"/>
    <w:rsid w:val="00F23A2D"/>
    <w:rsid w:val="00F3256E"/>
    <w:rsid w:val="00F45D2C"/>
    <w:rsid w:val="00F4647C"/>
    <w:rsid w:val="00F5105E"/>
    <w:rsid w:val="00F531BC"/>
    <w:rsid w:val="00F64765"/>
    <w:rsid w:val="00F666AB"/>
    <w:rsid w:val="00F805DE"/>
    <w:rsid w:val="00F8360A"/>
    <w:rsid w:val="00F901A8"/>
    <w:rsid w:val="00FC20BD"/>
    <w:rsid w:val="00FD12EB"/>
    <w:rsid w:val="00FD6A82"/>
    <w:rsid w:val="00FE2BD3"/>
    <w:rsid w:val="00FF0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6B556"/>
  <w15:chartTrackingRefBased/>
  <w15:docId w15:val="{3B5781A3-7AB6-48AE-B7C1-7C057BA8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B20"/>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27B20"/>
    <w:pPr>
      <w:spacing w:after="240"/>
      <w:ind w:left="1008"/>
    </w:pPr>
    <w:rPr>
      <w:rFonts w:ascii="Calibri" w:hAnsi="Calibri"/>
    </w:rPr>
  </w:style>
  <w:style w:type="character" w:customStyle="1" w:styleId="BodyTextChar">
    <w:name w:val="Body Text Char"/>
    <w:basedOn w:val="DefaultParagraphFont"/>
    <w:link w:val="BodyText"/>
    <w:rsid w:val="00227B20"/>
    <w:rPr>
      <w:rFonts w:ascii="Calibri" w:eastAsia="Calibri" w:hAnsi="Calibri" w:cs="Times New Roman"/>
      <w:sz w:val="24"/>
      <w:szCs w:val="24"/>
    </w:rPr>
  </w:style>
  <w:style w:type="paragraph" w:styleId="Title">
    <w:name w:val="Title"/>
    <w:basedOn w:val="Normal"/>
    <w:next w:val="BodyText"/>
    <w:link w:val="TitleChar"/>
    <w:qFormat/>
    <w:rsid w:val="00227B20"/>
    <w:pPr>
      <w:spacing w:after="240"/>
    </w:pPr>
    <w:rPr>
      <w:rFonts w:asciiTheme="majorHAnsi" w:hAnsiTheme="majorHAnsi"/>
      <w:b/>
      <w:color w:val="4472C4" w:themeColor="accent1"/>
      <w:sz w:val="28"/>
      <w:szCs w:val="28"/>
    </w:rPr>
  </w:style>
  <w:style w:type="character" w:customStyle="1" w:styleId="TitleChar">
    <w:name w:val="Title Char"/>
    <w:basedOn w:val="DefaultParagraphFont"/>
    <w:link w:val="Title"/>
    <w:rsid w:val="00227B20"/>
    <w:rPr>
      <w:rFonts w:asciiTheme="majorHAnsi" w:eastAsia="Calibri" w:hAnsiTheme="majorHAnsi" w:cs="Times New Roman"/>
      <w:b/>
      <w:color w:val="4472C4" w:themeColor="accent1"/>
      <w:sz w:val="28"/>
      <w:szCs w:val="28"/>
    </w:rPr>
  </w:style>
  <w:style w:type="paragraph" w:styleId="Header">
    <w:name w:val="header"/>
    <w:basedOn w:val="Normal"/>
    <w:link w:val="HeaderChar"/>
    <w:rsid w:val="00227B20"/>
    <w:pPr>
      <w:tabs>
        <w:tab w:val="center" w:pos="4680"/>
        <w:tab w:val="right" w:pos="9360"/>
      </w:tabs>
    </w:pPr>
  </w:style>
  <w:style w:type="character" w:customStyle="1" w:styleId="HeaderChar">
    <w:name w:val="Header Char"/>
    <w:basedOn w:val="DefaultParagraphFont"/>
    <w:link w:val="Header"/>
    <w:rsid w:val="00227B20"/>
    <w:rPr>
      <w:rFonts w:ascii="Times New Roman" w:eastAsia="Calibri" w:hAnsi="Times New Roman" w:cs="Times New Roman"/>
      <w:sz w:val="24"/>
      <w:szCs w:val="24"/>
    </w:rPr>
  </w:style>
  <w:style w:type="paragraph" w:styleId="Footer">
    <w:name w:val="footer"/>
    <w:basedOn w:val="Normal"/>
    <w:link w:val="FooterChar"/>
    <w:rsid w:val="00227B20"/>
    <w:pPr>
      <w:tabs>
        <w:tab w:val="center" w:pos="4680"/>
        <w:tab w:val="right" w:pos="9360"/>
      </w:tabs>
    </w:pPr>
  </w:style>
  <w:style w:type="character" w:customStyle="1" w:styleId="FooterChar">
    <w:name w:val="Footer Char"/>
    <w:basedOn w:val="DefaultParagraphFont"/>
    <w:link w:val="Footer"/>
    <w:rsid w:val="00227B20"/>
    <w:rPr>
      <w:rFonts w:ascii="Times New Roman" w:eastAsia="Calibri" w:hAnsi="Times New Roman" w:cs="Times New Roman"/>
      <w:sz w:val="24"/>
      <w:szCs w:val="24"/>
    </w:rPr>
  </w:style>
  <w:style w:type="character" w:styleId="Emphasis">
    <w:name w:val="Emphasis"/>
    <w:qFormat/>
    <w:rsid w:val="00227B20"/>
    <w:rPr>
      <w:b/>
      <w:i/>
    </w:rPr>
  </w:style>
  <w:style w:type="character" w:styleId="Strong">
    <w:name w:val="Strong"/>
    <w:qFormat/>
    <w:rsid w:val="00227B20"/>
    <w:rPr>
      <w:b/>
      <w:bCs/>
    </w:rPr>
  </w:style>
  <w:style w:type="paragraph" w:customStyle="1" w:styleId="TITLECAPS">
    <w:name w:val="TITLE CAPS"/>
    <w:basedOn w:val="Normal"/>
    <w:next w:val="BodyText"/>
    <w:link w:val="TITLECAPSChar"/>
    <w:rsid w:val="00227B20"/>
    <w:pPr>
      <w:spacing w:after="240"/>
    </w:pPr>
    <w:rPr>
      <w:rFonts w:asciiTheme="majorHAnsi" w:hAnsiTheme="majorHAnsi"/>
      <w:b/>
      <w:color w:val="44546A" w:themeColor="text2"/>
      <w:sz w:val="32"/>
      <w:szCs w:val="32"/>
    </w:rPr>
  </w:style>
  <w:style w:type="paragraph" w:customStyle="1" w:styleId="OutlineL1">
    <w:name w:val="Outline_L1"/>
    <w:basedOn w:val="Normal"/>
    <w:next w:val="BodyText"/>
    <w:link w:val="OutlineL1Char"/>
    <w:rsid w:val="00227B20"/>
    <w:pPr>
      <w:numPr>
        <w:numId w:val="1"/>
      </w:numPr>
      <w:spacing w:after="240"/>
      <w:outlineLvl w:val="0"/>
    </w:pPr>
    <w:rPr>
      <w:rFonts w:ascii="Calibri" w:eastAsia="Times New Roman" w:hAnsi="Calibri"/>
      <w:color w:val="4472C4" w:themeColor="accent1"/>
      <w:sz w:val="28"/>
      <w:szCs w:val="20"/>
    </w:rPr>
  </w:style>
  <w:style w:type="character" w:customStyle="1" w:styleId="OutlineL1Char">
    <w:name w:val="Outline_L1 Char"/>
    <w:basedOn w:val="TitleChar"/>
    <w:link w:val="OutlineL1"/>
    <w:rsid w:val="00227B20"/>
    <w:rPr>
      <w:rFonts w:ascii="Calibri" w:eastAsia="Times New Roman" w:hAnsi="Calibri" w:cs="Times New Roman"/>
      <w:b w:val="0"/>
      <w:color w:val="4472C4" w:themeColor="accent1"/>
      <w:sz w:val="28"/>
      <w:szCs w:val="20"/>
    </w:rPr>
  </w:style>
  <w:style w:type="paragraph" w:customStyle="1" w:styleId="OutlineL2">
    <w:name w:val="Outline_L2"/>
    <w:basedOn w:val="OutlineL1"/>
    <w:next w:val="BodyText"/>
    <w:link w:val="OutlineL2Char"/>
    <w:rsid w:val="00227B20"/>
    <w:pPr>
      <w:numPr>
        <w:ilvl w:val="1"/>
      </w:numPr>
      <w:spacing w:after="0"/>
      <w:outlineLvl w:val="1"/>
    </w:pPr>
  </w:style>
  <w:style w:type="character" w:customStyle="1" w:styleId="OutlineL2Char">
    <w:name w:val="Outline_L2 Char"/>
    <w:basedOn w:val="TitleChar"/>
    <w:link w:val="OutlineL2"/>
    <w:rsid w:val="00227B20"/>
    <w:rPr>
      <w:rFonts w:ascii="Calibri" w:eastAsia="Times New Roman" w:hAnsi="Calibri" w:cs="Times New Roman"/>
      <w:b w:val="0"/>
      <w:color w:val="4472C4" w:themeColor="accent1"/>
      <w:sz w:val="28"/>
      <w:szCs w:val="20"/>
    </w:rPr>
  </w:style>
  <w:style w:type="paragraph" w:customStyle="1" w:styleId="OutlineL3">
    <w:name w:val="Outline_L3"/>
    <w:basedOn w:val="OutlineL2"/>
    <w:next w:val="BodyText"/>
    <w:rsid w:val="00227B20"/>
    <w:pPr>
      <w:numPr>
        <w:ilvl w:val="2"/>
      </w:numPr>
      <w:tabs>
        <w:tab w:val="clear" w:pos="2160"/>
        <w:tab w:val="num" w:pos="360"/>
      </w:tabs>
      <w:spacing w:after="240"/>
      <w:outlineLvl w:val="2"/>
    </w:pPr>
    <w:rPr>
      <w:rFonts w:ascii="Times New Roman" w:hAnsi="Times New Roman"/>
      <w:sz w:val="24"/>
    </w:rPr>
  </w:style>
  <w:style w:type="paragraph" w:customStyle="1" w:styleId="OutlineL4">
    <w:name w:val="Outline_L4"/>
    <w:basedOn w:val="OutlineL3"/>
    <w:next w:val="BodyText"/>
    <w:rsid w:val="00227B20"/>
    <w:pPr>
      <w:numPr>
        <w:ilvl w:val="3"/>
      </w:numPr>
      <w:tabs>
        <w:tab w:val="clear" w:pos="2880"/>
        <w:tab w:val="num" w:pos="360"/>
      </w:tabs>
      <w:outlineLvl w:val="3"/>
    </w:pPr>
  </w:style>
  <w:style w:type="paragraph" w:customStyle="1" w:styleId="OutlineL5">
    <w:name w:val="Outline_L5"/>
    <w:basedOn w:val="OutlineL4"/>
    <w:next w:val="BodyText"/>
    <w:rsid w:val="00227B20"/>
    <w:pPr>
      <w:numPr>
        <w:ilvl w:val="4"/>
      </w:numPr>
      <w:tabs>
        <w:tab w:val="clear" w:pos="3600"/>
        <w:tab w:val="num" w:pos="360"/>
      </w:tabs>
      <w:outlineLvl w:val="4"/>
    </w:pPr>
  </w:style>
  <w:style w:type="paragraph" w:customStyle="1" w:styleId="OutlineL6">
    <w:name w:val="Outline_L6"/>
    <w:basedOn w:val="OutlineL5"/>
    <w:next w:val="BodyText"/>
    <w:rsid w:val="00227B20"/>
    <w:pPr>
      <w:numPr>
        <w:ilvl w:val="5"/>
      </w:numPr>
      <w:tabs>
        <w:tab w:val="clear" w:pos="4320"/>
        <w:tab w:val="num" w:pos="360"/>
      </w:tabs>
      <w:outlineLvl w:val="5"/>
    </w:pPr>
  </w:style>
  <w:style w:type="paragraph" w:customStyle="1" w:styleId="OutlineL7">
    <w:name w:val="Outline_L7"/>
    <w:basedOn w:val="OutlineL6"/>
    <w:next w:val="BodyText"/>
    <w:rsid w:val="00227B20"/>
    <w:pPr>
      <w:numPr>
        <w:ilvl w:val="6"/>
      </w:numPr>
      <w:tabs>
        <w:tab w:val="clear" w:pos="5040"/>
        <w:tab w:val="num" w:pos="360"/>
      </w:tabs>
      <w:outlineLvl w:val="6"/>
    </w:pPr>
  </w:style>
  <w:style w:type="paragraph" w:customStyle="1" w:styleId="OutlineL8">
    <w:name w:val="Outline_L8"/>
    <w:basedOn w:val="OutlineL7"/>
    <w:next w:val="BodyText"/>
    <w:rsid w:val="00227B20"/>
    <w:pPr>
      <w:numPr>
        <w:ilvl w:val="7"/>
      </w:numPr>
      <w:tabs>
        <w:tab w:val="clear" w:pos="5760"/>
        <w:tab w:val="num" w:pos="360"/>
      </w:tabs>
      <w:outlineLvl w:val="7"/>
    </w:pPr>
  </w:style>
  <w:style w:type="paragraph" w:customStyle="1" w:styleId="OutlineL9">
    <w:name w:val="Outline_L9"/>
    <w:basedOn w:val="OutlineL8"/>
    <w:next w:val="BodyText"/>
    <w:rsid w:val="00227B20"/>
    <w:pPr>
      <w:numPr>
        <w:ilvl w:val="8"/>
      </w:numPr>
      <w:tabs>
        <w:tab w:val="clear" w:pos="6480"/>
        <w:tab w:val="num" w:pos="360"/>
      </w:tabs>
      <w:outlineLvl w:val="8"/>
    </w:pPr>
  </w:style>
  <w:style w:type="table" w:styleId="TableGrid">
    <w:name w:val="Table Grid"/>
    <w:basedOn w:val="TableNormal"/>
    <w:rsid w:val="00227B20"/>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zmpTrailerItem">
    <w:name w:val="zzmpTrailerItem"/>
    <w:rsid w:val="00227B20"/>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Title1">
    <w:name w:val="Title1"/>
    <w:basedOn w:val="Normal"/>
    <w:rsid w:val="00227B20"/>
    <w:pPr>
      <w:keepNext/>
      <w:keepLines/>
      <w:spacing w:before="240" w:line="240" w:lineRule="atLeast"/>
      <w:ind w:left="720" w:right="720"/>
      <w:jc w:val="center"/>
    </w:pPr>
    <w:rPr>
      <w:rFonts w:eastAsia="Times New Roman"/>
      <w:b/>
      <w:sz w:val="26"/>
      <w:szCs w:val="20"/>
      <w:lang w:eastAsia="zh-CN"/>
    </w:rPr>
  </w:style>
  <w:style w:type="character" w:customStyle="1" w:styleId="TITLECAPSChar">
    <w:name w:val="TITLE CAPS Char"/>
    <w:basedOn w:val="DefaultParagraphFont"/>
    <w:link w:val="TITLECAPS"/>
    <w:rsid w:val="00227B20"/>
    <w:rPr>
      <w:rFonts w:asciiTheme="majorHAnsi" w:eastAsia="Calibri" w:hAnsiTheme="majorHAnsi" w:cs="Times New Roman"/>
      <w:b/>
      <w:color w:val="44546A" w:themeColor="text2"/>
      <w:sz w:val="32"/>
      <w:szCs w:val="32"/>
    </w:rPr>
  </w:style>
  <w:style w:type="paragraph" w:styleId="Revision">
    <w:name w:val="Revision"/>
    <w:hidden/>
    <w:uiPriority w:val="99"/>
    <w:semiHidden/>
    <w:rsid w:val="004E6B5D"/>
    <w:pPr>
      <w:spacing w:after="0" w:line="240" w:lineRule="auto"/>
    </w:pPr>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490983"/>
    <w:rPr>
      <w:sz w:val="16"/>
      <w:szCs w:val="16"/>
    </w:rPr>
  </w:style>
  <w:style w:type="paragraph" w:styleId="CommentText">
    <w:name w:val="annotation text"/>
    <w:basedOn w:val="Normal"/>
    <w:link w:val="CommentTextChar"/>
    <w:uiPriority w:val="99"/>
    <w:unhideWhenUsed/>
    <w:rsid w:val="00490983"/>
    <w:rPr>
      <w:sz w:val="20"/>
      <w:szCs w:val="20"/>
    </w:rPr>
  </w:style>
  <w:style w:type="character" w:customStyle="1" w:styleId="CommentTextChar">
    <w:name w:val="Comment Text Char"/>
    <w:basedOn w:val="DefaultParagraphFont"/>
    <w:link w:val="CommentText"/>
    <w:uiPriority w:val="99"/>
    <w:rsid w:val="00490983"/>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0983"/>
    <w:rPr>
      <w:b/>
      <w:bCs/>
    </w:rPr>
  </w:style>
  <w:style w:type="character" w:customStyle="1" w:styleId="CommentSubjectChar">
    <w:name w:val="Comment Subject Char"/>
    <w:basedOn w:val="CommentTextChar"/>
    <w:link w:val="CommentSubject"/>
    <w:uiPriority w:val="99"/>
    <w:semiHidden/>
    <w:rsid w:val="00490983"/>
    <w:rPr>
      <w:rFonts w:ascii="Times New Roman" w:eastAsia="Calibri" w:hAnsi="Times New Roman" w:cs="Times New Roman"/>
      <w:b/>
      <w:bCs/>
      <w:sz w:val="20"/>
      <w:szCs w:val="20"/>
    </w:rPr>
  </w:style>
  <w:style w:type="character" w:styleId="Hyperlink">
    <w:name w:val="Hyperlink"/>
    <w:uiPriority w:val="99"/>
    <w:rsid w:val="00920FA5"/>
    <w:rPr>
      <w:color w:val="0000FF"/>
      <w:u w:val="single"/>
    </w:rPr>
  </w:style>
  <w:style w:type="paragraph" w:styleId="ListParagraph">
    <w:name w:val="List Paragraph"/>
    <w:basedOn w:val="Normal"/>
    <w:uiPriority w:val="34"/>
    <w:qFormat/>
    <w:rsid w:val="004C5EC6"/>
    <w:pPr>
      <w:ind w:left="720"/>
      <w:contextualSpacing/>
    </w:pPr>
  </w:style>
  <w:style w:type="character" w:styleId="UnresolvedMention">
    <w:name w:val="Unresolved Mention"/>
    <w:basedOn w:val="DefaultParagraphFont"/>
    <w:uiPriority w:val="99"/>
    <w:semiHidden/>
    <w:unhideWhenUsed/>
    <w:rsid w:val="001A347D"/>
    <w:rPr>
      <w:color w:val="605E5C"/>
      <w:shd w:val="clear" w:color="auto" w:fill="E1DFDD"/>
    </w:rPr>
  </w:style>
  <w:style w:type="character" w:styleId="FollowedHyperlink">
    <w:name w:val="FollowedHyperlink"/>
    <w:basedOn w:val="DefaultParagraphFont"/>
    <w:uiPriority w:val="99"/>
    <w:semiHidden/>
    <w:unhideWhenUsed/>
    <w:rsid w:val="00D77B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luke.pt/freefluke" TargetMode="External"/><Relationship Id="rId18" Type="http://schemas.openxmlformats.org/officeDocument/2006/relationships/hyperlink" Target="http://www.flukenetworks.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fluke.pt/freefluke" TargetMode="External"/><Relationship Id="rId7" Type="http://schemas.openxmlformats.org/officeDocument/2006/relationships/styles" Target="styles.xml"/><Relationship Id="rId12" Type="http://schemas.openxmlformats.org/officeDocument/2006/relationships/hyperlink" Target="http://www.fluke.pt/freefluke" TargetMode="External"/><Relationship Id="rId17" Type="http://schemas.openxmlformats.org/officeDocument/2006/relationships/hyperlink" Target="https://eu.flukecal.com/product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luke.com/en-gb-products" TargetMode="External"/><Relationship Id="rId20" Type="http://schemas.openxmlformats.org/officeDocument/2006/relationships/image" Target="media/image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privacypolicy@fluke.com" TargetMode="External"/><Relationship Id="rId5" Type="http://schemas.openxmlformats.org/officeDocument/2006/relationships/customXml" Target="../customXml/item5.xml"/><Relationship Id="rId15" Type="http://schemas.openxmlformats.org/officeDocument/2006/relationships/hyperlink" Target="https://www.fluke.com/pt-pt/onde-comprar" TargetMode="External"/><Relationship Id="rId23" Type="http://schemas.openxmlformats.org/officeDocument/2006/relationships/hyperlink" Target="http://en-us.fluke.com/site/privacy"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beha-amprobe.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luke.com/pt-pt/onde-comprar" TargetMode="External"/><Relationship Id="rId22" Type="http://schemas.openxmlformats.org/officeDocument/2006/relationships/hyperlink" Target="mailto:ehv-marcom@fluke.nl"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EEF58C80F4AA4C9CFDB834DE8766B1" ma:contentTypeVersion="21" ma:contentTypeDescription="Create a new document." ma:contentTypeScope="" ma:versionID="e291f1855a0e4749cf1294e23d3dc18b">
  <xsd:schema xmlns:xsd="http://www.w3.org/2001/XMLSchema" xmlns:xs="http://www.w3.org/2001/XMLSchema" xmlns:p="http://schemas.microsoft.com/office/2006/metadata/properties" xmlns:ns2="14d49a67-3062-40a2-b4f9-dcb9989b710a" xmlns:ns3="5a40a5c4-5adb-427e-a152-612fa354249f" targetNamespace="http://schemas.microsoft.com/office/2006/metadata/properties" ma:root="true" ma:fieldsID="dfda7528b0aaee747e34e3a49db50443" ns2:_="" ns3:_="">
    <xsd:import namespace="14d49a67-3062-40a2-b4f9-dcb9989b710a"/>
    <xsd:import namespace="5a40a5c4-5adb-427e-a152-612fa35424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49a67-3062-40a2-b4f9-dcb9989b7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a1511d-2345-4ee6-88e1-d3859e8dbc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40a5c4-5adb-427e-a152-612fa354249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3193be-dbd9-4391-83b5-7b2579909d46}" ma:internalName="TaxCatchAll" ma:showField="CatchAllData" ma:web="5a40a5c4-5adb-427e-a152-612fa35424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DEEF58C80F4AA4C9CFDB834DE8766B1" ma:contentTypeVersion="21" ma:contentTypeDescription="Create a new document." ma:contentTypeScope="" ma:versionID="e291f1855a0e4749cf1294e23d3dc18b">
  <xsd:schema xmlns:xsd="http://www.w3.org/2001/XMLSchema" xmlns:xs="http://www.w3.org/2001/XMLSchema" xmlns:p="http://schemas.microsoft.com/office/2006/metadata/properties" xmlns:ns2="14d49a67-3062-40a2-b4f9-dcb9989b710a" xmlns:ns3="5a40a5c4-5adb-427e-a152-612fa354249f" targetNamespace="http://schemas.microsoft.com/office/2006/metadata/properties" ma:root="true" ma:fieldsID="dfda7528b0aaee747e34e3a49db50443" ns2:_="" ns3:_="">
    <xsd:import namespace="14d49a67-3062-40a2-b4f9-dcb9989b710a"/>
    <xsd:import namespace="5a40a5c4-5adb-427e-a152-612fa35424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49a67-3062-40a2-b4f9-dcb9989b7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a1511d-2345-4ee6-88e1-d3859e8dbc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40a5c4-5adb-427e-a152-612fa354249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3193be-dbd9-4391-83b5-7b2579909d46}" ma:internalName="TaxCatchAll" ma:showField="CatchAllData" ma:web="5a40a5c4-5adb-427e-a152-612fa35424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4d49a67-3062-40a2-b4f9-dcb9989b710a">
      <Terms xmlns="http://schemas.microsoft.com/office/infopath/2007/PartnerControls"/>
    </lcf76f155ced4ddcb4097134ff3c332f>
    <TaxCatchAll xmlns="5a40a5c4-5adb-427e-a152-612fa354249f" xsi:nil="true"/>
  </documentManagement>
</p:properties>
</file>

<file path=customXml/itemProps1.xml><?xml version="1.0" encoding="utf-8"?>
<ds:datastoreItem xmlns:ds="http://schemas.openxmlformats.org/officeDocument/2006/customXml" ds:itemID="{6A9DE425-93AF-4831-82EC-356025C1855C}">
  <ds:schemaRefs>
    <ds:schemaRef ds:uri="http://schemas.microsoft.com/sharepoint/v3/contenttype/forms"/>
  </ds:schemaRefs>
</ds:datastoreItem>
</file>

<file path=customXml/itemProps2.xml><?xml version="1.0" encoding="utf-8"?>
<ds:datastoreItem xmlns:ds="http://schemas.openxmlformats.org/officeDocument/2006/customXml" ds:itemID="{2C197B05-309B-4A1E-AF97-E9A4761FA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49a67-3062-40a2-b4f9-dcb9989b710a"/>
    <ds:schemaRef ds:uri="5a40a5c4-5adb-427e-a152-612fa3542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CE3782-388A-4EC9-B780-CDD3ECE36030}">
  <ds:schemaRefs>
    <ds:schemaRef ds:uri="http://schemas.openxmlformats.org/officeDocument/2006/bibliography"/>
  </ds:schemaRefs>
</ds:datastoreItem>
</file>

<file path=customXml/itemProps4.xml><?xml version="1.0" encoding="utf-8"?>
<ds:datastoreItem xmlns:ds="http://schemas.openxmlformats.org/officeDocument/2006/customXml" ds:itemID="{840F6D5F-D3F4-48EA-A636-21DC3578B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49a67-3062-40a2-b4f9-dcb9989b710a"/>
    <ds:schemaRef ds:uri="5a40a5c4-5adb-427e-a152-612fa3542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08D763-50C3-4F15-99C4-1C9131F02866}">
  <ds:schemaRefs>
    <ds:schemaRef ds:uri="http://schemas.microsoft.com/office/2006/metadata/properties"/>
    <ds:schemaRef ds:uri="http://schemas.microsoft.com/office/infopath/2007/PartnerControls"/>
    <ds:schemaRef ds:uri="14d49a67-3062-40a2-b4f9-dcb9989b710a"/>
    <ds:schemaRef ds:uri="5a40a5c4-5adb-427e-a152-612fa354249f"/>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2297</Words>
  <Characters>13096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Damle, Shreya C</dc:creator>
  <cp:lastModifiedBy>Gastel van, Ernie</cp:lastModifiedBy>
  <cp:revision>4</cp:revision>
  <dcterms:created xsi:type="dcterms:W3CDTF">2024-02-09T11:22:00Z</dcterms:created>
  <dcterms:modified xsi:type="dcterms:W3CDTF">2024-02-09T14:31:00Z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0x0101008DEEF58C80F4AA4C9CFDB834DE8766B1</vt:lpwstr>
  </property>
  <property fmtid="{D5CDD505-2E9C-101B-9397-08002B2CF9AE}" pid="3" name="MediaServiceImageTags">
    <vt:lpwstr/>
  </property>
</Properties>
</file>